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房屋登记办法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（2008年2月15日中华人民共和国建设部令第168号公布　自2008年7月1日起施行　根据2019年9月6日中华人民共和国住房和城乡建设部令第48号废止）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