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方正黑体_GBK" w:hAnsi="方正黑体_GBK" w:eastAsia="方正黑体_GBK" w:cs="方正黑体_GBK"/>
          <w:color w:val="00000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hAnsi="微软雅黑" w:eastAsia="方正小标宋简体"/>
          <w:sz w:val="40"/>
          <w:szCs w:val="40"/>
        </w:rPr>
      </w:pPr>
    </w:p>
    <w:p>
      <w:pPr>
        <w:snapToGrid w:val="0"/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公共供水管网漏损治理实施方案</w:t>
      </w:r>
    </w:p>
    <w:p>
      <w:pPr>
        <w:snapToGrid w:val="0"/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编制大纲</w:t>
      </w:r>
    </w:p>
    <w:p>
      <w:pPr>
        <w:snapToGrid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一、现状分析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（一）供水系统现状。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水厂位置、供水方式、供水范围、供水规模、水厂与管网水量核算方式等。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（二）供水管网现状。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管网分布、管网结构、长度、管材、铺设年代等，流速、流向、水压等管网运行状态分析，管网地理信息系统建设情况。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（三）管网漏损现状。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供水管网漏损率历史变化情况及现状，造成管网漏损的原因分析，目前已开展的漏损控制相关工作。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二、示范效应分析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本城市（县城）开展供水管网漏损治理试点的必要性、可行性和示范意义。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三、治理目标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结合现有管网漏损治理工作基础，统筹考虑节水减排潜力、供水安全、经济效益等，分析供水管网漏损治理潜力，因地制宜制定合理的供水管网漏损治理目标。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四、治理工程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（一）供水管网改造工程。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包括对超过使用年限、材质落后和受损失修的市政供水管道及阀门井等附属设施更新改造、小区管网及附属设施改造、老旧二次供水设施改造等。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（二）供水管网分区计量工程。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包括计量设备与数据传输设备安装、分区计量平台建设、一户一表改造，市政、绿化、消防、环卫用水计量体系建设等。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（三）供水管网压力调控工程。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包括区域集中调蓄加压设施建设、管网压力在线监测设备安装、压力调控设备安装等。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（四）供水智能化建设工程。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包括供水管网信息化建设、水量、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水质等传感设备安装、漏损监测设备安装、供水智能化管理平台建设（集成管网地理信息、分区计量、压力调控、二次供水管理等功能）等。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五、管控长效机制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（一）政府主体责任落实。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建立城市（县城）人民政府推进试点工作组织体系、职责分工和监督考核机制，明确任务措施。试点地区要逐步建立健全充分反映供水成本、激励提升供水水质、促进节约用水的城镇供水价格形成机制，理顺地下市政基础设施建设管理协调机制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（二）企业直接责任落实。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供水企业内部管理制度和激励机制、供水管网漏损治理与运行维护方案等。其中，治理与运行维护方案应包括漏损控制管理机制、设施运维管理、分区计量及漏损控制措施应用、应用成效评估和数据分析等内容。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hint="eastAsia" w:ascii="仿宋_GB2312" w:hAnsi="楷体" w:eastAsia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方正楷体_GBK"/>
          <w:bCs/>
          <w:color w:val="000000"/>
          <w:sz w:val="32"/>
          <w:szCs w:val="32"/>
        </w:rPr>
        <w:t>（三）实施水厂生产和管网营销水量分开核算。</w:t>
      </w: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从水量计量、水量贸易结算、细化部门责任等角度，提出实施水厂生产和管网营销两个环节水量分开核算的具体措施，取消“包费制”，杜绝“人情水”。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六、实施计划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制定管网漏损治理分年度实施计划，建立漏损治理项目清单，明确各项目主要内容、预期成效、资金来源（拟申请中央预算内投资支持的项目应注明拟申请支持的金额）、建设时序等，明确项目实施机制。试点城市（县城）因地制宜采用切实可行、可持续的实施模式，确保项目高质量建设和高水平运维。鼓励采用合同节水管理模式。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黑体" w:hAnsi="黑体" w:eastAsia="黑体" w:cs="方正黑体_GBK"/>
          <w:bCs/>
          <w:kern w:val="28"/>
          <w:sz w:val="32"/>
          <w:szCs w:val="32"/>
        </w:rPr>
      </w:pPr>
      <w:r>
        <w:rPr>
          <w:rFonts w:hint="eastAsia" w:ascii="黑体" w:hAnsi="黑体" w:eastAsia="黑体" w:cs="方正黑体_GBK"/>
          <w:bCs/>
          <w:kern w:val="28"/>
          <w:sz w:val="32"/>
          <w:szCs w:val="32"/>
        </w:rPr>
        <w:t>七、保障措施</w:t>
      </w:r>
    </w:p>
    <w:p>
      <w:pPr>
        <w:keepNext/>
        <w:keepLines/>
        <w:adjustRightInd w:val="0"/>
        <w:snapToGrid w:val="0"/>
        <w:spacing w:line="560" w:lineRule="exact"/>
        <w:ind w:firstLine="640" w:firstLineChars="200"/>
        <w:outlineLvl w:val="1"/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>组织保障方面，包括城市（县城）人民政府和企业两个层面，以及项目实施的监督、绩效与激励机制，与第三方专业单位的合作模式等。资金保障方面，包括企业的资金投入，政府的财政补贴、奖励政策，以及其他资金筹措的来源等。政策保障方面，包括供水价格机制落实、居民二次供水设施改造配套保障等。</w:t>
      </w:r>
    </w:p>
    <w:p>
      <w:pPr>
        <w:adjustRightInd w:val="0"/>
        <w:snapToGrid w:val="0"/>
        <w:spacing w:line="560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103D8"/>
    <w:rsid w:val="565E73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2022-03-16T06:22:00Z</dcterms:created>
  <dc:creator>yanglinyi</dc:creator>
  <cp:lastModifiedBy>刘晓霞:信息签发</cp:lastModifiedBy>
  <dcterms:modified xsi:type="dcterms:W3CDTF">2022-03-16T08:41:08Z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4EAF6499E080490782391C5E7D7A9ED1</vt:lpwstr>
  </property>
</Properties>
</file>