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eastAsia="方正小标宋简体" w:hAnsiTheme="minorEastAsia"/>
          <w:color w:val="000000" w:themeColor="text1"/>
          <w:sz w:val="40"/>
          <w:szCs w:val="40"/>
          <w:lang w:eastAsia="zh-CN"/>
          <w14:textFill>
            <w14:solidFill>
              <w14:schemeClr w14:val="tx1"/>
            </w14:solidFill>
          </w14:textFill>
        </w:rPr>
      </w:pPr>
      <w:r>
        <w:rPr>
          <w:rFonts w:hint="eastAsia" w:ascii="方正小标宋简体" w:eastAsia="方正小标宋简体" w:hAnsiTheme="minorEastAsia"/>
          <w:color w:val="000000" w:themeColor="text1"/>
          <w:sz w:val="40"/>
          <w:szCs w:val="40"/>
          <w:lang w:eastAsia="zh-CN"/>
          <w14:textFill>
            <w14:solidFill>
              <w14:schemeClr w14:val="tx1"/>
            </w14:solidFill>
          </w14:textFill>
        </w:rPr>
        <w:t>《</w:t>
      </w:r>
      <w:r>
        <w:rPr>
          <w:rFonts w:hint="eastAsia" w:ascii="方正小标宋简体" w:eastAsia="方正小标宋简体" w:hAnsiTheme="minorEastAsia"/>
          <w:color w:val="000000" w:themeColor="text1"/>
          <w:sz w:val="40"/>
          <w:szCs w:val="40"/>
          <w14:textFill>
            <w14:solidFill>
              <w14:schemeClr w14:val="tx1"/>
            </w14:solidFill>
          </w14:textFill>
        </w:rPr>
        <w:t>民用建筑能源资源消耗</w:t>
      </w:r>
      <w:r>
        <w:rPr>
          <w:rFonts w:hint="eastAsia" w:ascii="方正小标宋简体" w:eastAsia="方正小标宋简体" w:hAnsiTheme="minorEastAsia"/>
          <w:color w:val="000000" w:themeColor="text1"/>
          <w:sz w:val="40"/>
          <w:szCs w:val="40"/>
          <w:lang w:eastAsia="zh-CN"/>
          <w14:textFill>
            <w14:solidFill>
              <w14:schemeClr w14:val="tx1"/>
            </w14:solidFill>
          </w14:textFill>
        </w:rPr>
        <w:t>统计调查制度</w:t>
      </w:r>
      <w:r>
        <w:rPr>
          <w:rFonts w:hint="eastAsia" w:ascii="方正小标宋简体" w:eastAsia="方正小标宋简体" w:hAnsiTheme="minorEastAsia"/>
          <w:color w:val="000000" w:themeColor="text1"/>
          <w:sz w:val="40"/>
          <w:szCs w:val="4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eastAsia="方正小标宋简体" w:hAnsiTheme="minorEastAsia"/>
          <w:color w:val="000000" w:themeColor="text1"/>
          <w:sz w:val="40"/>
          <w:szCs w:val="40"/>
          <w:lang w:eastAsia="zh-CN"/>
          <w14:textFill>
            <w14:solidFill>
              <w14:schemeClr w14:val="tx1"/>
            </w14:solidFill>
          </w14:textFill>
        </w:rPr>
      </w:pPr>
      <w:r>
        <w:rPr>
          <w:rFonts w:hint="eastAsia" w:ascii="方正小标宋简体" w:eastAsia="方正小标宋简体" w:hAnsiTheme="minorEastAsia"/>
          <w:color w:val="000000" w:themeColor="text1"/>
          <w:sz w:val="40"/>
          <w:szCs w:val="40"/>
          <w:lang w:val="en-US" w:eastAsia="zh-CN"/>
          <w14:textFill>
            <w14:solidFill>
              <w14:schemeClr w14:val="tx1"/>
            </w14:solidFill>
          </w14:textFill>
        </w:rPr>
        <w:t>106个城市统计要求</w:t>
      </w:r>
      <w:r>
        <w:rPr>
          <w:rFonts w:hint="eastAsia" w:ascii="方正小标宋简体" w:eastAsia="方正小标宋简体" w:hAnsiTheme="minorEastAsia"/>
          <w:color w:val="000000" w:themeColor="text1"/>
          <w:sz w:val="40"/>
          <w:szCs w:val="40"/>
          <w:lang w:eastAsia="zh-CN"/>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beforeLines="0" w:line="240" w:lineRule="auto"/>
        <w:jc w:val="both"/>
        <w:textAlignment w:val="auto"/>
        <w:outlineLvl w:val="9"/>
        <w:rPr>
          <w:rFonts w:hint="eastAsia" w:ascii="仿宋_GB2312" w:hAnsi="仿宋_GB2312" w:eastAsia="仿宋_GB2312" w:cs="仿宋_GB2312"/>
          <w:color w:val="000000"/>
          <w:sz w:val="32"/>
          <w:szCs w:val="32"/>
        </w:rPr>
      </w:pPr>
      <w:r>
        <w:rPr>
          <w:rFonts w:hint="eastAsia" w:ascii="方正小标宋简体" w:eastAsia="方正小标宋简体" w:hAnsiTheme="minorEastAsia"/>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sz w:val="32"/>
          <w:szCs w:val="32"/>
          <w:lang w:val="en-US" w:eastAsia="zh-CN"/>
        </w:rPr>
        <w:t>《民用建筑能源资源消耗统计调查制度》中规定了调查统计范围，现就106个城市统计要求说明如下：</w:t>
      </w:r>
    </w:p>
    <w:p>
      <w:pPr>
        <w:keepNext w:val="0"/>
        <w:keepLines w:val="0"/>
        <w:pageBreakBefore w:val="0"/>
        <w:widowControl w:val="0"/>
        <w:numPr>
          <w:ilvl w:val="0"/>
          <w:numId w:val="1"/>
        </w:numPr>
        <w:kinsoku/>
        <w:wordWrap/>
        <w:overflowPunct/>
        <w:topLinePunct w:val="0"/>
        <w:autoSpaceDE/>
        <w:autoSpaceDN/>
        <w:bidi w:val="0"/>
        <w:adjustRightInd w:val="0"/>
        <w:snapToGrid/>
        <w:spacing w:beforeLines="0" w:line="240" w:lineRule="auto"/>
        <w:ind w:firstLine="640" w:firstLineChars="200"/>
        <w:textAlignment w:val="auto"/>
        <w:outlineLvl w:val="9"/>
        <w:rPr>
          <w:rFonts w:ascii="黑体" w:hAnsi="黑体" w:eastAsia="黑体" w:cs="仿宋"/>
          <w:b w:val="0"/>
          <w:bCs/>
          <w:color w:val="000000" w:themeColor="text1"/>
          <w:sz w:val="32"/>
          <w:szCs w:val="32"/>
          <w14:textFill>
            <w14:solidFill>
              <w14:schemeClr w14:val="tx1"/>
            </w14:solidFill>
          </w14:textFill>
        </w:rPr>
      </w:pPr>
      <w:r>
        <w:rPr>
          <w:rFonts w:hint="eastAsia" w:ascii="黑体" w:hAnsi="黑体" w:eastAsia="黑体" w:cs="仿宋"/>
          <w:b w:val="0"/>
          <w:bCs/>
          <w:color w:val="000000" w:themeColor="text1"/>
          <w:sz w:val="32"/>
          <w:szCs w:val="32"/>
          <w:lang w:val="en-US" w:eastAsia="zh-CN"/>
          <w14:textFill>
            <w14:solidFill>
              <w14:schemeClr w14:val="tx1"/>
            </w14:solidFill>
          </w14:textFill>
        </w:rPr>
        <w:t>城市范围</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line="240" w:lineRule="auto"/>
        <w:textAlignment w:val="auto"/>
        <w:outlineLvl w:val="9"/>
        <w:rPr>
          <w:rFonts w:hint="eastAsia" w:ascii="楷体" w:hAnsi="楷体" w:eastAsia="楷体" w:cs="Arial"/>
          <w:b w:val="0"/>
          <w:bCs/>
          <w:color w:val="000000"/>
          <w:sz w:val="32"/>
          <w:szCs w:val="32"/>
          <w:lang w:val="en-US" w:eastAsia="zh-CN"/>
        </w:rPr>
      </w:pPr>
      <w:r>
        <w:rPr>
          <w:rFonts w:hint="eastAsia" w:ascii="楷体" w:hAnsi="楷体" w:eastAsia="楷体" w:cs="Arial"/>
          <w:b w:val="0"/>
          <w:bCs/>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全国106个城市名单如下：</w:t>
      </w:r>
    </w:p>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宋体" w:hAnsi="宋体" w:eastAsia="宋体"/>
          <w:b/>
          <w:color w:val="000000"/>
          <w:sz w:val="24"/>
          <w:szCs w:val="24"/>
          <w:lang w:val="en-US" w:eastAsia="zh-CN"/>
        </w:rPr>
      </w:pPr>
      <w:r>
        <w:rPr>
          <w:rFonts w:hint="eastAsia" w:ascii="宋体" w:hAnsi="宋体"/>
          <w:b/>
          <w:color w:val="000000"/>
          <w:sz w:val="24"/>
          <w:szCs w:val="24"/>
        </w:rPr>
        <w:t>表</w:t>
      </w:r>
      <w:r>
        <w:rPr>
          <w:rFonts w:ascii="宋体" w:hAnsi="宋体"/>
          <w:b/>
          <w:color w:val="000000"/>
          <w:sz w:val="24"/>
          <w:szCs w:val="24"/>
        </w:rPr>
        <w:t xml:space="preserve">1 </w:t>
      </w:r>
      <w:r>
        <w:rPr>
          <w:rFonts w:hint="eastAsia" w:ascii="宋体" w:hAnsi="宋体"/>
          <w:b/>
          <w:color w:val="000000"/>
          <w:sz w:val="24"/>
          <w:szCs w:val="24"/>
          <w:lang w:eastAsia="zh-CN"/>
        </w:rPr>
        <w:t>全国</w:t>
      </w:r>
      <w:r>
        <w:rPr>
          <w:rFonts w:hint="eastAsia" w:ascii="宋体" w:hAnsi="宋体"/>
          <w:b/>
          <w:color w:val="000000"/>
          <w:sz w:val="24"/>
          <w:szCs w:val="24"/>
          <w:lang w:val="en-US" w:eastAsia="zh-CN"/>
        </w:rPr>
        <w:t>106个城市名单</w:t>
      </w:r>
      <w:bookmarkStart w:id="0" w:name="_GoBack"/>
      <w:bookmarkEnd w:id="0"/>
    </w:p>
    <w:tbl>
      <w:tblPr>
        <w:tblStyle w:val="13"/>
        <w:tblW w:w="826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788"/>
        <w:gridCol w:w="1386"/>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省</w:t>
            </w:r>
            <w:r>
              <w:rPr>
                <w:rFonts w:hint="eastAsia" w:ascii="黑体" w:hAnsi="黑体" w:eastAsia="黑体" w:cs="黑体"/>
                <w:b w:val="0"/>
                <w:bCs/>
                <w:color w:val="000000"/>
                <w:sz w:val="24"/>
                <w:szCs w:val="24"/>
                <w:lang w:eastAsia="zh-CN"/>
              </w:rPr>
              <w:t>（区、市）</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统计城市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省</w:t>
            </w:r>
            <w:r>
              <w:rPr>
                <w:rFonts w:hint="eastAsia" w:ascii="黑体" w:hAnsi="黑体" w:eastAsia="黑体" w:cs="黑体"/>
                <w:b w:val="0"/>
                <w:bCs/>
                <w:color w:val="000000"/>
                <w:sz w:val="24"/>
                <w:szCs w:val="24"/>
                <w:lang w:eastAsia="zh-CN"/>
              </w:rPr>
              <w:t>（区、市）</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统计城市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北京</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宋体" w:hAnsi="宋体" w:eastAsia="宋体" w:cs="Arial"/>
                <w:color w:val="000000"/>
                <w:sz w:val="24"/>
                <w:szCs w:val="24"/>
                <w:lang w:val="en-US" w:eastAsia="zh-CN"/>
              </w:rPr>
            </w:pPr>
            <w:r>
              <w:rPr>
                <w:rFonts w:hint="eastAsia" w:ascii="宋体" w:hAnsi="宋体" w:cs="Arial"/>
                <w:color w:val="000000"/>
                <w:sz w:val="24"/>
                <w:szCs w:val="24"/>
                <w:lang w:eastAsia="zh-CN"/>
              </w:rPr>
              <w:t>北京市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天津</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宋体" w:hAnsi="宋体" w:eastAsia="宋体" w:cs="Arial"/>
                <w:color w:val="000000"/>
                <w:sz w:val="24"/>
                <w:szCs w:val="24"/>
                <w:lang w:eastAsia="zh-CN"/>
              </w:rPr>
            </w:pPr>
            <w:r>
              <w:rPr>
                <w:rFonts w:hint="eastAsia" w:ascii="宋体" w:hAnsi="宋体" w:cs="Arial"/>
                <w:color w:val="000000"/>
                <w:sz w:val="24"/>
                <w:szCs w:val="24"/>
                <w:lang w:eastAsia="zh-CN"/>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上海</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宋体" w:hAnsi="宋体" w:eastAsia="宋体" w:cs="Arial"/>
                <w:color w:val="000000"/>
                <w:sz w:val="24"/>
                <w:szCs w:val="24"/>
                <w:lang w:eastAsia="zh-CN"/>
              </w:rPr>
            </w:pPr>
            <w:r>
              <w:rPr>
                <w:rFonts w:hint="eastAsia" w:ascii="宋体" w:hAnsi="宋体" w:cs="Arial"/>
                <w:color w:val="000000"/>
                <w:sz w:val="24"/>
                <w:szCs w:val="24"/>
                <w:lang w:eastAsia="zh-CN"/>
              </w:rPr>
              <w:t>上海市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重庆</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河北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石家庄市、秦皇岛市、唐山市、承德市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山西</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太原市、大同市、临汾市、朔州市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内蒙古</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hint="eastAsia"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rPr>
              <w:t>呼和浩特</w:t>
            </w:r>
            <w:r>
              <w:rPr>
                <w:rFonts w:hint="eastAsia" w:asciiTheme="minorEastAsia" w:hAnsiTheme="minorEastAsia" w:eastAsiaTheme="minorEastAsia"/>
                <w:color w:val="000000"/>
                <w:sz w:val="24"/>
                <w:szCs w:val="24"/>
                <w:lang w:eastAsia="zh-CN"/>
              </w:rPr>
              <w:t>市</w:t>
            </w:r>
            <w:r>
              <w:rPr>
                <w:rFonts w:hint="eastAsia" w:asciiTheme="minorEastAsia" w:hAnsiTheme="minorEastAsia" w:eastAsiaTheme="minorEastAsia"/>
                <w:color w:val="000000"/>
                <w:sz w:val="24"/>
                <w:szCs w:val="24"/>
              </w:rPr>
              <w:t>、赤峰市、兴安盟</w:t>
            </w:r>
            <w:r>
              <w:rPr>
                <w:rFonts w:hint="eastAsia" w:asciiTheme="minorEastAsia" w:hAnsiTheme="minorEastAsia" w:eastAsiaTheme="minorEastAsia"/>
                <w:color w:val="000000"/>
                <w:sz w:val="24"/>
                <w:szCs w:val="24"/>
                <w:lang w:eastAsia="zh-CN"/>
              </w:rPr>
              <w:t>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黑龙江</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哈尔滨市、大庆市、齐齐哈尔市、鸡西市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吉林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长春市、吉林市、松原市、辽源市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辽宁</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沈阳市、大连市、丹东市、本溪市、朝阳市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山东</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济南市、青岛市、淄博市、东营市、枣庄市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江苏</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南京市、无锡市、常州市、徐州市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安徽</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合肥市、铜陵市、马鞍山市、蚌埠市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浙江</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杭州市、宁波市、绍兴市、舟山市、衢州市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福建</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福州市、厦门市、莆田市、龙岩市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江西</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南昌市、新余市、景德镇市、宜春市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河南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郑州市、鹤壁市、南阳市、驻马店市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湖北</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武汉市、襄阳市、宜昌市、十堰市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湖南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长沙市、株洲市、湘潭市、张家界市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广东</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广州市、深圳市、东莞市、佛山市、韶关市、云浮市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广西</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南宁市、柳州市、梧州市、防城港市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海南</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海口市、三亚市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云南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昆明市、丽江市、普洱市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贵州</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贵阳市、六盘水市、铜仁市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四川</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成都市、绵阳市、攀枝花市、阿坝州</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西藏</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拉萨市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陕西</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西安市、咸阳市、宝鸡市、安康市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甘肃</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兰州市、张掖市、甘南藏族自治州、白银市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宁夏</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银川市、吴忠市、固原市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青海</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西宁市、格尔木市、黄南藏族自治州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新疆</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乌鲁木齐市、库尔勒市、阿勒泰地区</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仿宋_GB2312" w:hAnsi="宋体" w:eastAsia="仿宋_GB2312"/>
                <w:color w:val="000000"/>
                <w:sz w:val="24"/>
                <w:szCs w:val="24"/>
              </w:rPr>
            </w:pPr>
          </w:p>
        </w:tc>
        <w:tc>
          <w:tcPr>
            <w:tcW w:w="263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宋体" w:hAnsi="宋体" w:cs="Arial"/>
                <w:color w:val="000000"/>
                <w:sz w:val="24"/>
                <w:szCs w:val="24"/>
              </w:rPr>
            </w:pPr>
          </w:p>
        </w:tc>
      </w:tr>
    </w:tbl>
    <w:p>
      <w:pPr>
        <w:keepNext w:val="0"/>
        <w:keepLines w:val="0"/>
        <w:pageBreakBefore w:val="0"/>
        <w:widowControl w:val="0"/>
        <w:numPr>
          <w:ilvl w:val="0"/>
          <w:numId w:val="1"/>
        </w:numPr>
        <w:kinsoku/>
        <w:wordWrap/>
        <w:overflowPunct/>
        <w:topLinePunct w:val="0"/>
        <w:autoSpaceDE/>
        <w:autoSpaceDN/>
        <w:bidi w:val="0"/>
        <w:adjustRightInd w:val="0"/>
        <w:snapToGrid/>
        <w:spacing w:before="0" w:beforeLines="0" w:line="240" w:lineRule="auto"/>
        <w:ind w:left="0" w:leftChars="0" w:firstLine="560" w:firstLineChars="20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统计要求</w:t>
      </w:r>
    </w:p>
    <w:p>
      <w:pPr>
        <w:keepNext w:val="0"/>
        <w:keepLines w:val="0"/>
        <w:pageBreakBefore w:val="0"/>
        <w:widowControl w:val="0"/>
        <w:numPr>
          <w:ilvl w:val="0"/>
          <w:numId w:val="2"/>
        </w:numPr>
        <w:kinsoku/>
        <w:wordWrap/>
        <w:overflowPunct/>
        <w:topLinePunct w:val="0"/>
        <w:autoSpaceDE/>
        <w:autoSpaceDN/>
        <w:bidi w:val="0"/>
        <w:adjustRightInd w:val="0"/>
        <w:snapToGrid/>
        <w:spacing w:beforeLines="0" w:line="240" w:lineRule="auto"/>
        <w:ind w:left="420" w:leftChars="0" w:firstLine="0" w:firstLineChars="0"/>
        <w:textAlignment w:val="auto"/>
        <w:outlineLvl w:val="9"/>
        <w:rPr>
          <w:rFonts w:hint="eastAsia" w:ascii="楷体" w:hAnsi="楷体" w:eastAsia="楷体" w:cs="Arial"/>
          <w:b w:val="0"/>
          <w:bCs/>
          <w:color w:val="000000"/>
          <w:sz w:val="32"/>
          <w:szCs w:val="32"/>
          <w:lang w:eastAsia="zh-CN"/>
        </w:rPr>
      </w:pPr>
      <w:r>
        <w:rPr>
          <w:rFonts w:hint="eastAsia" w:ascii="楷体" w:hAnsi="楷体" w:eastAsia="楷体" w:cs="Arial"/>
          <w:b w:val="0"/>
          <w:bCs/>
          <w:color w:val="000000"/>
          <w:sz w:val="32"/>
          <w:szCs w:val="32"/>
          <w:lang w:eastAsia="zh-CN"/>
        </w:rPr>
        <w:t>城镇居住建筑和中小型公共建筑。</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line="240" w:lineRule="auto"/>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 xml:space="preserve">    城镇居住建筑和中小型公共建筑统计范围和最低统计数量如下：</w:t>
      </w:r>
    </w:p>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宋体" w:hAnsi="宋体"/>
          <w:b/>
          <w:color w:val="000000"/>
          <w:sz w:val="24"/>
          <w:szCs w:val="24"/>
        </w:rPr>
      </w:pPr>
      <w:r>
        <w:rPr>
          <w:rFonts w:hint="eastAsia" w:ascii="宋体" w:hAnsi="宋体"/>
          <w:b/>
          <w:color w:val="000000"/>
          <w:sz w:val="24"/>
          <w:szCs w:val="24"/>
        </w:rPr>
        <w:t>表</w:t>
      </w:r>
      <w:r>
        <w:rPr>
          <w:rFonts w:ascii="宋体" w:hAnsi="宋体"/>
          <w:b/>
          <w:color w:val="000000"/>
          <w:sz w:val="24"/>
          <w:szCs w:val="24"/>
        </w:rPr>
        <w:t xml:space="preserve">2 </w:t>
      </w:r>
      <w:r>
        <w:rPr>
          <w:rFonts w:hint="eastAsia" w:ascii="宋体" w:hAnsi="宋体"/>
          <w:b/>
          <w:color w:val="000000"/>
          <w:sz w:val="24"/>
          <w:szCs w:val="24"/>
        </w:rPr>
        <w:t>城镇</w:t>
      </w:r>
      <w:r>
        <w:rPr>
          <w:rFonts w:ascii="宋体" w:hAnsi="宋体"/>
          <w:b/>
          <w:color w:val="000000"/>
          <w:sz w:val="24"/>
          <w:szCs w:val="24"/>
        </w:rPr>
        <w:t>居住建筑和中小型公共建筑</w:t>
      </w:r>
      <w:r>
        <w:rPr>
          <w:rFonts w:hint="eastAsia" w:ascii="宋体" w:hAnsi="宋体"/>
          <w:b/>
          <w:color w:val="000000"/>
          <w:sz w:val="24"/>
          <w:szCs w:val="24"/>
          <w:lang w:eastAsia="zh-CN"/>
        </w:rPr>
        <w:t>统计范围和</w:t>
      </w:r>
      <w:r>
        <w:rPr>
          <w:rFonts w:ascii="宋体" w:hAnsi="宋体"/>
          <w:b/>
          <w:color w:val="000000"/>
          <w:sz w:val="24"/>
          <w:szCs w:val="24"/>
        </w:rPr>
        <w:t>最</w:t>
      </w:r>
      <w:r>
        <w:rPr>
          <w:rFonts w:hint="eastAsia" w:ascii="宋体" w:hAnsi="宋体"/>
          <w:b/>
          <w:color w:val="000000"/>
          <w:sz w:val="24"/>
          <w:szCs w:val="24"/>
        </w:rPr>
        <w:t>低</w:t>
      </w:r>
      <w:r>
        <w:rPr>
          <w:rFonts w:ascii="宋体" w:hAnsi="宋体"/>
          <w:b/>
          <w:color w:val="000000"/>
          <w:sz w:val="24"/>
          <w:szCs w:val="24"/>
        </w:rPr>
        <w:t>统计数量</w:t>
      </w:r>
    </w:p>
    <w:tbl>
      <w:tblPr>
        <w:tblStyle w:val="13"/>
        <w:tblW w:w="818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9"/>
        <w:gridCol w:w="16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rPr>
              <w:t>省（区、市）</w:t>
            </w:r>
            <w:r>
              <w:rPr>
                <w:rFonts w:hint="eastAsia" w:ascii="黑体" w:hAnsi="黑体" w:eastAsia="黑体" w:cs="黑体"/>
                <w:b w:val="0"/>
                <w:bCs/>
                <w:color w:val="000000"/>
                <w:sz w:val="24"/>
                <w:szCs w:val="24"/>
                <w:lang w:eastAsia="zh-CN"/>
              </w:rPr>
              <w:t>名称</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居住建筑</w:t>
            </w:r>
          </w:p>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统计数量（栋）</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中小型公共建筑</w:t>
            </w:r>
          </w:p>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统计数量（栋）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北京</w:t>
            </w:r>
            <w:r>
              <w:rPr>
                <w:rFonts w:asciiTheme="minorEastAsia" w:hAnsiTheme="minorEastAsia" w:eastAsiaTheme="minorEastAsia"/>
                <w:color w:val="000000"/>
                <w:sz w:val="24"/>
                <w:szCs w:val="24"/>
              </w:rPr>
              <w:t>、上海、天津、重庆</w:t>
            </w:r>
            <w:r>
              <w:rPr>
                <w:rFonts w:hint="eastAsia" w:asciiTheme="minorEastAsia" w:hAnsiTheme="minorEastAsia" w:eastAsiaTheme="minorEastAsia"/>
                <w:color w:val="000000"/>
                <w:sz w:val="24"/>
                <w:szCs w:val="24"/>
              </w:rPr>
              <w:t>、广东</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1500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河北、山西、黑龙江、吉林、辽宁、山东、江苏、安徽、浙江、江西、河南、湖北、湖南、广西、四川、陕西、甘肃</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1200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内蒙古、福建、云南、贵州、宁夏、青海、新疆、</w:t>
            </w:r>
            <w:r>
              <w:rPr>
                <w:rFonts w:asciiTheme="minorEastAsia" w:hAnsiTheme="minorEastAsia" w:eastAsiaTheme="minorEastAsia"/>
                <w:color w:val="000000" w:themeColor="text1"/>
                <w:sz w:val="24"/>
                <w:szCs w:val="24"/>
                <w14:textFill>
                  <w14:solidFill>
                    <w14:schemeClr w14:val="tx1"/>
                  </w14:solidFill>
                </w14:textFill>
              </w:rPr>
              <w:t>大连、</w:t>
            </w:r>
            <w:r>
              <w:rPr>
                <w:rFonts w:hint="eastAsia" w:asciiTheme="minorEastAsia" w:hAnsiTheme="minorEastAsia" w:eastAsiaTheme="minorEastAsia"/>
                <w:color w:val="000000" w:themeColor="text1"/>
                <w:sz w:val="24"/>
                <w:szCs w:val="24"/>
                <w14:textFill>
                  <w14:solidFill>
                    <w14:schemeClr w14:val="tx1"/>
                  </w14:solidFill>
                </w14:textFill>
              </w:rPr>
              <w:t>青岛</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宁波</w:t>
            </w:r>
            <w:r>
              <w:rPr>
                <w:rFonts w:asciiTheme="minorEastAsia" w:hAnsiTheme="minorEastAsia" w:eastAsiaTheme="minorEastAsia"/>
                <w:color w:val="000000" w:themeColor="text1"/>
                <w:sz w:val="24"/>
                <w:szCs w:val="24"/>
                <w14:textFill>
                  <w14:solidFill>
                    <w14:schemeClr w14:val="tx1"/>
                  </w14:solidFill>
                </w14:textFill>
              </w:rPr>
              <w:t>、深圳</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900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海南</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新疆</w:t>
            </w:r>
            <w:r>
              <w:rPr>
                <w:rFonts w:asciiTheme="minorEastAsia" w:hAnsiTheme="minorEastAsia" w:eastAsiaTheme="minorEastAsia"/>
                <w:color w:val="000000"/>
                <w:sz w:val="24"/>
                <w:szCs w:val="24"/>
              </w:rPr>
              <w:t>兵团</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厦门</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600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西藏</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200</w:t>
            </w:r>
          </w:p>
        </w:tc>
      </w:tr>
    </w:tbl>
    <w:p>
      <w:pPr>
        <w:keepNext w:val="0"/>
        <w:keepLines w:val="0"/>
        <w:pageBreakBefore w:val="0"/>
        <w:widowControl w:val="0"/>
        <w:numPr>
          <w:ilvl w:val="0"/>
          <w:numId w:val="0"/>
        </w:numPr>
        <w:kinsoku/>
        <w:wordWrap/>
        <w:overflowPunct/>
        <w:topLinePunct w:val="0"/>
        <w:autoSpaceDE/>
        <w:autoSpaceDN/>
        <w:bidi w:val="0"/>
        <w:adjustRightInd w:val="0"/>
        <w:snapToGrid/>
        <w:spacing w:beforeLines="0" w:line="240" w:lineRule="auto"/>
        <w:textAlignment w:val="auto"/>
        <w:outlineLvl w:val="9"/>
        <w:rPr>
          <w:rFonts w:ascii="楷体" w:hAnsi="楷体" w:eastAsia="楷体" w:cs="Arial"/>
          <w:b w:val="0"/>
          <w:bCs/>
          <w:color w:val="000000"/>
          <w:sz w:val="28"/>
          <w:szCs w:val="28"/>
        </w:rPr>
      </w:pPr>
    </w:p>
    <w:p>
      <w:pPr>
        <w:keepNext w:val="0"/>
        <w:keepLines w:val="0"/>
        <w:pageBreakBefore w:val="0"/>
        <w:widowControl w:val="0"/>
        <w:numPr>
          <w:ilvl w:val="0"/>
          <w:numId w:val="3"/>
        </w:numPr>
        <w:kinsoku/>
        <w:wordWrap/>
        <w:overflowPunct/>
        <w:topLinePunct w:val="0"/>
        <w:autoSpaceDE/>
        <w:autoSpaceDN/>
        <w:bidi w:val="0"/>
        <w:adjustRightInd w:val="0"/>
        <w:snapToGrid/>
        <w:spacing w:beforeLines="0" w:line="240" w:lineRule="auto"/>
        <w:ind w:firstLine="560" w:firstLineChars="200"/>
        <w:textAlignment w:val="auto"/>
        <w:outlineLvl w:val="9"/>
        <w:rPr>
          <w:rFonts w:ascii="楷体" w:hAnsi="楷体" w:eastAsia="楷体" w:cs="Arial"/>
          <w:b w:val="0"/>
          <w:bCs/>
          <w:color w:val="000000"/>
          <w:sz w:val="32"/>
          <w:szCs w:val="32"/>
        </w:rPr>
      </w:pPr>
      <w:r>
        <w:rPr>
          <w:rFonts w:hint="eastAsia" w:ascii="楷体" w:hAnsi="楷体" w:eastAsia="楷体" w:cs="Arial"/>
          <w:b w:val="0"/>
          <w:bCs/>
          <w:color w:val="000000"/>
          <w:sz w:val="32"/>
          <w:szCs w:val="32"/>
        </w:rPr>
        <w:t>城镇</w:t>
      </w:r>
      <w:r>
        <w:rPr>
          <w:rFonts w:hint="eastAsia" w:ascii="楷体" w:hAnsi="楷体" w:eastAsia="楷体" w:cs="Arial"/>
          <w:b w:val="0"/>
          <w:bCs/>
          <w:color w:val="000000"/>
          <w:sz w:val="32"/>
          <w:szCs w:val="32"/>
          <w:lang w:eastAsia="zh-CN"/>
        </w:rPr>
        <w:t>民用建筑集中供热热源。</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line="240" w:lineRule="auto"/>
        <w:textAlignment w:val="auto"/>
        <w:outlineLvl w:val="9"/>
        <w:rPr>
          <w:rFonts w:hint="eastAsia" w:ascii="仿宋_GB2312" w:hAnsi="仿宋_GB2312" w:eastAsia="仿宋_GB2312" w:cs="仿宋_GB2312"/>
          <w:b w:val="0"/>
          <w:bCs/>
          <w:color w:val="000000"/>
          <w:sz w:val="28"/>
          <w:szCs w:val="28"/>
          <w:lang w:val="en-US" w:eastAsia="zh-CN"/>
        </w:rPr>
      </w:pPr>
      <w:r>
        <w:rPr>
          <w:rFonts w:hint="eastAsia" w:ascii="楷体" w:hAnsi="楷体" w:eastAsia="楷体" w:cs="Arial"/>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lang w:val="en-US" w:eastAsia="zh-CN"/>
        </w:rPr>
        <w:t>城镇集中供热7兆瓦以下锅炉房集中供热信息统计范围和最低统计数量如下：</w:t>
      </w:r>
    </w:p>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宋体" w:hAnsi="宋体"/>
          <w:b/>
          <w:color w:val="000000"/>
          <w:sz w:val="24"/>
          <w:szCs w:val="24"/>
        </w:rPr>
      </w:pPr>
      <w:r>
        <w:rPr>
          <w:rFonts w:hint="eastAsia" w:ascii="宋体" w:hAnsi="宋体"/>
          <w:b/>
          <w:color w:val="000000"/>
          <w:sz w:val="24"/>
          <w:szCs w:val="24"/>
        </w:rPr>
        <w:t>表</w:t>
      </w:r>
      <w:r>
        <w:rPr>
          <w:rFonts w:ascii="宋体" w:hAnsi="宋体"/>
          <w:b/>
          <w:color w:val="000000"/>
          <w:sz w:val="24"/>
          <w:szCs w:val="24"/>
        </w:rPr>
        <w:t xml:space="preserve">3 </w:t>
      </w:r>
      <w:r>
        <w:rPr>
          <w:rFonts w:hint="eastAsia" w:ascii="宋体" w:hAnsi="宋体"/>
          <w:b/>
          <w:color w:val="000000"/>
          <w:sz w:val="24"/>
          <w:szCs w:val="24"/>
        </w:rPr>
        <w:t>城镇</w:t>
      </w:r>
      <w:r>
        <w:rPr>
          <w:rFonts w:ascii="宋体" w:hAnsi="宋体"/>
          <w:b/>
          <w:color w:val="000000"/>
          <w:sz w:val="24"/>
          <w:szCs w:val="24"/>
        </w:rPr>
        <w:t>规模以下集中供热</w:t>
      </w:r>
      <w:r>
        <w:rPr>
          <w:rFonts w:hint="eastAsia" w:ascii="宋体" w:hAnsi="宋体"/>
          <w:b/>
          <w:color w:val="000000"/>
          <w:sz w:val="24"/>
          <w:szCs w:val="24"/>
          <w:lang w:eastAsia="zh-CN"/>
        </w:rPr>
        <w:t>统计范围和</w:t>
      </w:r>
      <w:r>
        <w:rPr>
          <w:rFonts w:ascii="宋体" w:hAnsi="宋体"/>
          <w:b/>
          <w:color w:val="000000"/>
          <w:sz w:val="24"/>
          <w:szCs w:val="24"/>
        </w:rPr>
        <w:t>最</w:t>
      </w:r>
      <w:r>
        <w:rPr>
          <w:rFonts w:hint="eastAsia" w:ascii="宋体" w:hAnsi="宋体"/>
          <w:b/>
          <w:color w:val="000000"/>
          <w:sz w:val="24"/>
          <w:szCs w:val="24"/>
        </w:rPr>
        <w:t>低</w:t>
      </w:r>
      <w:r>
        <w:rPr>
          <w:rFonts w:ascii="宋体" w:hAnsi="宋体"/>
          <w:b/>
          <w:color w:val="000000"/>
          <w:sz w:val="24"/>
          <w:szCs w:val="24"/>
        </w:rPr>
        <w:t>统计数量</w:t>
      </w:r>
    </w:p>
    <w:tbl>
      <w:tblPr>
        <w:tblStyle w:val="13"/>
        <w:tblW w:w="819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1"/>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rPr>
              <w:t>省（区、市）</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锅炉房统计数量（个）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宋体" w:hAnsi="宋体"/>
                <w:color w:val="000000"/>
                <w:sz w:val="24"/>
                <w:szCs w:val="24"/>
              </w:rPr>
            </w:pPr>
            <w:r>
              <w:rPr>
                <w:rFonts w:hint="eastAsia" w:ascii="宋体" w:hAnsi="宋体"/>
                <w:color w:val="000000"/>
                <w:sz w:val="24"/>
                <w:szCs w:val="24"/>
              </w:rPr>
              <w:t>北京</w:t>
            </w:r>
            <w:r>
              <w:rPr>
                <w:rFonts w:ascii="宋体" w:hAnsi="宋体"/>
                <w:color w:val="000000"/>
                <w:sz w:val="24"/>
                <w:szCs w:val="24"/>
              </w:rPr>
              <w:t>、天津</w:t>
            </w:r>
            <w:r>
              <w:rPr>
                <w:rFonts w:hint="eastAsia" w:ascii="宋体" w:hAnsi="宋体"/>
                <w:color w:val="000000"/>
                <w:sz w:val="24"/>
                <w:szCs w:val="24"/>
              </w:rPr>
              <w:t>、</w:t>
            </w:r>
            <w:r>
              <w:rPr>
                <w:rFonts w:ascii="宋体" w:hAnsi="宋体"/>
                <w:color w:val="000000" w:themeColor="text1"/>
                <w:sz w:val="24"/>
                <w:szCs w:val="24"/>
                <w14:textFill>
                  <w14:solidFill>
                    <w14:schemeClr w14:val="tx1"/>
                  </w14:solidFill>
                </w14:textFill>
              </w:rPr>
              <w:t>大连、</w:t>
            </w:r>
            <w:r>
              <w:rPr>
                <w:rFonts w:hint="eastAsia" w:ascii="宋体" w:hAnsi="宋体"/>
                <w:color w:val="000000" w:themeColor="text1"/>
                <w:sz w:val="24"/>
                <w:szCs w:val="24"/>
                <w14:textFill>
                  <w14:solidFill>
                    <w14:schemeClr w14:val="tx1"/>
                  </w14:solidFill>
                </w14:textFill>
              </w:rPr>
              <w:t>青岛</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宋体" w:hAnsi="宋体"/>
                <w:color w:val="000000"/>
                <w:sz w:val="24"/>
                <w:szCs w:val="24"/>
              </w:rPr>
            </w:pPr>
            <w:r>
              <w:rPr>
                <w:rFonts w:ascii="宋体" w:hAnsi="宋体"/>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宋体" w:hAnsi="宋体"/>
                <w:color w:val="000000"/>
                <w:sz w:val="24"/>
                <w:szCs w:val="24"/>
              </w:rPr>
            </w:pPr>
            <w:r>
              <w:rPr>
                <w:rFonts w:hint="eastAsia" w:ascii="宋体" w:hAnsi="宋体"/>
                <w:color w:val="000000"/>
                <w:sz w:val="24"/>
                <w:szCs w:val="24"/>
              </w:rPr>
              <w:t>河北、山西、黑龙江、吉林、辽宁、山东、河南、陕西、甘肃</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宋体" w:hAnsi="宋体"/>
                <w:color w:val="000000"/>
                <w:sz w:val="24"/>
                <w:szCs w:val="24"/>
              </w:rPr>
            </w:pPr>
            <w:r>
              <w:rPr>
                <w:rFonts w:ascii="宋体" w:hAnsi="宋体"/>
                <w:color w:val="000000"/>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宋体" w:hAnsi="宋体"/>
                <w:color w:val="000000"/>
                <w:sz w:val="24"/>
                <w:szCs w:val="24"/>
              </w:rPr>
            </w:pPr>
            <w:r>
              <w:rPr>
                <w:rFonts w:hint="eastAsia" w:ascii="宋体" w:hAnsi="宋体"/>
                <w:color w:val="000000"/>
                <w:sz w:val="24"/>
                <w:szCs w:val="24"/>
              </w:rPr>
              <w:t>内蒙古、宁夏、青海、新疆</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宋体" w:hAnsi="宋体"/>
                <w:color w:val="000000"/>
                <w:sz w:val="24"/>
                <w:szCs w:val="24"/>
              </w:rPr>
            </w:pPr>
            <w:r>
              <w:rPr>
                <w:rFonts w:ascii="宋体" w:hAnsi="宋体"/>
                <w:color w:val="00000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宋体" w:hAnsi="宋体"/>
                <w:color w:val="000000"/>
                <w:sz w:val="24"/>
                <w:szCs w:val="24"/>
              </w:rPr>
            </w:pPr>
            <w:r>
              <w:rPr>
                <w:rFonts w:hint="eastAsia" w:ascii="宋体" w:hAnsi="宋体"/>
                <w:color w:val="000000"/>
                <w:sz w:val="24"/>
                <w:szCs w:val="24"/>
              </w:rPr>
              <w:t>安徽、江苏</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宋体" w:hAnsi="宋体"/>
                <w:color w:val="000000"/>
                <w:sz w:val="24"/>
                <w:szCs w:val="24"/>
              </w:rPr>
            </w:pPr>
            <w:r>
              <w:rPr>
                <w:rFonts w:hint="eastAsia" w:ascii="宋体" w:hAnsi="宋体"/>
                <w:color w:val="000000"/>
                <w:sz w:val="24"/>
                <w:szCs w:val="24"/>
              </w:rPr>
              <w:t>10</w:t>
            </w:r>
          </w:p>
        </w:tc>
      </w:tr>
    </w:tbl>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ind w:firstLine="560" w:firstLineChars="200"/>
        <w:jc w:val="both"/>
        <w:textAlignment w:val="auto"/>
        <w:outlineLvl w:val="9"/>
        <w:rPr>
          <w:rFonts w:hint="eastAsia" w:ascii="楷体_GB2312" w:hAnsi="楷体_GB2312" w:eastAsia="楷体_GB2312" w:cs="楷体_GB2312"/>
          <w:color w:val="000000"/>
          <w:sz w:val="28"/>
          <w:szCs w:val="28"/>
        </w:rPr>
      </w:pP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ind w:firstLine="560" w:firstLineChars="200"/>
        <w:jc w:val="both"/>
        <w:textAlignment w:val="auto"/>
        <w:outlineLvl w:val="9"/>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rPr>
        <w:t>（三）行政村居住建筑</w:t>
      </w:r>
      <w:r>
        <w:rPr>
          <w:rFonts w:hint="eastAsia" w:ascii="楷体_GB2312" w:hAnsi="楷体_GB2312" w:eastAsia="楷体_GB2312" w:cs="楷体_GB2312"/>
          <w:color w:val="000000"/>
          <w:sz w:val="32"/>
          <w:szCs w:val="32"/>
          <w:lang w:eastAsia="zh-CN"/>
        </w:rPr>
        <w:t>。</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ind w:firstLine="560" w:firstLineChars="20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行政村居住建筑能源资源消耗统计范围和最低统计数量如下：</w:t>
      </w:r>
    </w:p>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宋体" w:hAnsi="宋体"/>
          <w:b/>
          <w:color w:val="000000"/>
          <w:sz w:val="24"/>
          <w:szCs w:val="24"/>
        </w:rPr>
      </w:pPr>
      <w:r>
        <w:rPr>
          <w:rFonts w:hint="eastAsia" w:ascii="宋体" w:hAnsi="宋体"/>
          <w:b/>
          <w:color w:val="000000"/>
          <w:sz w:val="24"/>
          <w:szCs w:val="24"/>
        </w:rPr>
        <w:t>表</w:t>
      </w:r>
      <w:r>
        <w:rPr>
          <w:rFonts w:ascii="宋体" w:hAnsi="宋体"/>
          <w:b/>
          <w:color w:val="000000"/>
          <w:sz w:val="24"/>
          <w:szCs w:val="24"/>
        </w:rPr>
        <w:t xml:space="preserve">4 </w:t>
      </w:r>
      <w:r>
        <w:rPr>
          <w:rFonts w:hint="eastAsia" w:ascii="宋体" w:hAnsi="宋体"/>
          <w:b/>
          <w:color w:val="000000"/>
          <w:sz w:val="24"/>
          <w:szCs w:val="24"/>
        </w:rPr>
        <w:t>行政村居住建筑能源资源消耗</w:t>
      </w:r>
      <w:r>
        <w:rPr>
          <w:rFonts w:hint="eastAsia" w:ascii="宋体" w:hAnsi="宋体"/>
          <w:b/>
          <w:color w:val="000000"/>
          <w:sz w:val="24"/>
          <w:szCs w:val="24"/>
          <w:lang w:eastAsia="zh-CN"/>
        </w:rPr>
        <w:t>统计范围和</w:t>
      </w:r>
      <w:r>
        <w:rPr>
          <w:rFonts w:ascii="宋体" w:hAnsi="宋体"/>
          <w:b/>
          <w:color w:val="000000"/>
          <w:sz w:val="24"/>
          <w:szCs w:val="24"/>
        </w:rPr>
        <w:t>最</w:t>
      </w:r>
      <w:r>
        <w:rPr>
          <w:rFonts w:hint="eastAsia" w:ascii="宋体" w:hAnsi="宋体"/>
          <w:b/>
          <w:color w:val="000000"/>
          <w:sz w:val="24"/>
          <w:szCs w:val="24"/>
        </w:rPr>
        <w:t>低</w:t>
      </w:r>
      <w:r>
        <w:rPr>
          <w:rFonts w:ascii="宋体" w:hAnsi="宋体"/>
          <w:b/>
          <w:color w:val="000000"/>
          <w:sz w:val="24"/>
          <w:szCs w:val="24"/>
        </w:rPr>
        <w:t>统计数量</w:t>
      </w:r>
    </w:p>
    <w:tbl>
      <w:tblPr>
        <w:tblStyle w:val="13"/>
        <w:tblW w:w="818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rPr>
              <w:t>省（区、市）</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行政村调查数量（个）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北京</w:t>
            </w:r>
            <w:r>
              <w:rPr>
                <w:rFonts w:asciiTheme="minorEastAsia" w:hAnsiTheme="minorEastAsia" w:eastAsiaTheme="minorEastAsia"/>
                <w:color w:val="000000"/>
                <w:sz w:val="24"/>
                <w:szCs w:val="24"/>
              </w:rPr>
              <w:t>、上海、天津、重庆</w:t>
            </w:r>
            <w:r>
              <w:rPr>
                <w:rFonts w:hint="eastAsia" w:asciiTheme="minorEastAsia" w:hAnsiTheme="minorEastAsia" w:eastAsiaTheme="minorEastAsia"/>
                <w:color w:val="000000"/>
                <w:sz w:val="24"/>
                <w:szCs w:val="24"/>
              </w:rPr>
              <w:t>、广东</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河北、山西、黑龙江、吉林、辽宁、山东、江苏、安徽、浙江、江西、河南、湖北、湖南、广西、四川、陕西、甘肃</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内蒙古、福建、云南、贵州、宁夏、青海、新疆、</w:t>
            </w:r>
            <w:r>
              <w:rPr>
                <w:rFonts w:asciiTheme="minorEastAsia" w:hAnsiTheme="minorEastAsia" w:eastAsiaTheme="minorEastAsia"/>
                <w:color w:val="000000" w:themeColor="text1"/>
                <w:sz w:val="24"/>
                <w:szCs w:val="24"/>
                <w14:textFill>
                  <w14:solidFill>
                    <w14:schemeClr w14:val="tx1"/>
                  </w14:solidFill>
                </w14:textFill>
              </w:rPr>
              <w:t>大连、</w:t>
            </w:r>
            <w:r>
              <w:rPr>
                <w:rFonts w:hint="eastAsia" w:asciiTheme="minorEastAsia" w:hAnsiTheme="minorEastAsia" w:eastAsiaTheme="minorEastAsia"/>
                <w:color w:val="000000" w:themeColor="text1"/>
                <w:sz w:val="24"/>
                <w:szCs w:val="24"/>
                <w14:textFill>
                  <w14:solidFill>
                    <w14:schemeClr w14:val="tx1"/>
                  </w14:solidFill>
                </w14:textFill>
              </w:rPr>
              <w:t>青岛</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宁波</w:t>
            </w:r>
            <w:r>
              <w:rPr>
                <w:rFonts w:asciiTheme="minorEastAsia" w:hAnsiTheme="minorEastAsia" w:eastAsiaTheme="minorEastAsia"/>
                <w:color w:val="000000" w:themeColor="text1"/>
                <w:sz w:val="24"/>
                <w:szCs w:val="24"/>
                <w14:textFill>
                  <w14:solidFill>
                    <w14:schemeClr w14:val="tx1"/>
                  </w14:solidFill>
                </w14:textFill>
              </w:rPr>
              <w:t>、深圳</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海南</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新疆</w:t>
            </w:r>
            <w:r>
              <w:rPr>
                <w:rFonts w:asciiTheme="minorEastAsia" w:hAnsiTheme="minorEastAsia" w:eastAsiaTheme="minorEastAsia"/>
                <w:color w:val="000000"/>
                <w:sz w:val="24"/>
                <w:szCs w:val="24"/>
              </w:rPr>
              <w:t>兵团</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厦门</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西藏</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spacing w:beforeLines="0" w:line="240" w:lineRule="auto"/>
              <w:jc w:val="center"/>
              <w:textAlignment w:val="auto"/>
              <w:outlineLvl w:val="9"/>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10</w:t>
            </w:r>
          </w:p>
        </w:tc>
      </w:tr>
    </w:tbl>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hint="eastAsia" w:ascii="黑体" w:hAnsi="黑体" w:eastAsia="黑体" w:cs="仿宋"/>
          <w:b w:val="0"/>
          <w:bCs/>
          <w:color w:val="000000" w:themeColor="text1"/>
          <w:sz w:val="28"/>
          <w:szCs w:val="30"/>
          <w:lang w:val="en-US" w:eastAsia="zh-CN"/>
          <w14:textFill>
            <w14:solidFill>
              <w14:schemeClr w14:val="tx1"/>
            </w14:solidFill>
          </w14:textFill>
        </w:rPr>
      </w:pPr>
      <w:r>
        <w:rPr>
          <w:rFonts w:hint="eastAsia" w:ascii="黑体" w:hAnsi="黑体" w:eastAsia="黑体" w:cs="仿宋"/>
          <w:b w:val="0"/>
          <w:bCs/>
          <w:color w:val="000000" w:themeColor="text1"/>
          <w:sz w:val="28"/>
          <w:szCs w:val="30"/>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spacing w:beforeLines="0" w:line="240" w:lineRule="auto"/>
        <w:textAlignment w:val="auto"/>
        <w:outlineLvl w:val="9"/>
        <w:rPr>
          <w:rFonts w:ascii="黑体" w:hAnsi="黑体" w:eastAsia="黑体" w:cs="仿宋"/>
          <w:b w:val="0"/>
          <w:bCs/>
          <w:color w:val="000000" w:themeColor="text1"/>
          <w:sz w:val="32"/>
          <w:szCs w:val="32"/>
          <w14:textFill>
            <w14:solidFill>
              <w14:schemeClr w14:val="tx1"/>
            </w14:solidFill>
          </w14:textFill>
        </w:rPr>
      </w:pPr>
      <w:r>
        <w:rPr>
          <w:rFonts w:hint="eastAsia" w:ascii="黑体" w:hAnsi="黑体" w:eastAsia="黑体" w:cs="仿宋"/>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仿宋"/>
          <w:b w:val="0"/>
          <w:bCs/>
          <w:color w:val="000000" w:themeColor="text1"/>
          <w:sz w:val="32"/>
          <w:szCs w:val="32"/>
          <w:lang w:eastAsia="zh-CN"/>
          <w14:textFill>
            <w14:solidFill>
              <w14:schemeClr w14:val="tx1"/>
            </w14:solidFill>
          </w14:textFill>
        </w:rPr>
        <w:t>三</w:t>
      </w:r>
      <w:r>
        <w:rPr>
          <w:rFonts w:hint="eastAsia" w:ascii="黑体" w:hAnsi="黑体" w:eastAsia="黑体" w:cs="仿宋"/>
          <w:b w:val="0"/>
          <w:bCs/>
          <w:color w:val="000000" w:themeColor="text1"/>
          <w:sz w:val="32"/>
          <w:szCs w:val="32"/>
          <w14:textFill>
            <w14:solidFill>
              <w14:schemeClr w14:val="tx1"/>
            </w14:solidFill>
          </w14:textFill>
        </w:rPr>
        <w:t>、数据采集方法</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eastAsia="zh-CN"/>
        </w:rPr>
      </w:pPr>
      <w:r>
        <w:rPr>
          <w:rFonts w:hint="eastAsia" w:ascii="楷体" w:hAnsi="楷体" w:eastAsia="楷体" w:cs="Arial"/>
          <w:b w:val="0"/>
          <w:bCs/>
          <w:color w:val="000000"/>
          <w:sz w:val="32"/>
          <w:szCs w:val="32"/>
          <w:lang w:val="en-US" w:eastAsia="zh-CN"/>
        </w:rPr>
        <w:t xml:space="preserve"> </w:t>
      </w:r>
      <w:r>
        <w:rPr>
          <w:rFonts w:hint="eastAsia" w:ascii="楷体_GB2312" w:hAnsi="楷体_GB2312" w:eastAsia="楷体_GB2312" w:cs="楷体_GB2312"/>
          <w:b w:val="0"/>
          <w:bCs/>
          <w:color w:val="000000"/>
          <w:sz w:val="32"/>
          <w:szCs w:val="32"/>
          <w:lang w:val="en-US" w:eastAsia="zh-CN"/>
        </w:rPr>
        <w:t xml:space="preserve">  </w:t>
      </w:r>
      <w:r>
        <w:rPr>
          <w:rFonts w:hint="eastAsia" w:ascii="楷体_GB2312" w:hAnsi="楷体_GB2312" w:eastAsia="楷体_GB2312" w:cs="楷体_GB2312"/>
          <w:b w:val="0"/>
          <w:bCs/>
          <w:color w:val="000000"/>
          <w:sz w:val="32"/>
          <w:szCs w:val="32"/>
          <w:lang w:val="en-US" w:eastAsia="zh-CN"/>
        </w:rPr>
        <w:t xml:space="preserve"> </w:t>
      </w: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color w:val="000000"/>
          <w:sz w:val="32"/>
          <w:szCs w:val="32"/>
        </w:rPr>
        <w:t>一）电耗数据采集方法</w:t>
      </w:r>
      <w:r>
        <w:rPr>
          <w:rFonts w:hint="eastAsia" w:ascii="楷体_GB2312" w:hAnsi="楷体_GB2312" w:eastAsia="楷体_GB2312" w:cs="楷体_GB2312"/>
          <w:color w:val="000000"/>
          <w:sz w:val="32"/>
          <w:szCs w:val="32"/>
          <w:lang w:eastAsia="zh-CN"/>
        </w:rPr>
        <w:t>。</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建筑所有权人、使用权人填报或委托电力供应部门提供数据。房管部门采取逐户统计各用户和公用电耗，累加获得整栋楼的电耗。</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 xml:space="preserve">    </w:t>
      </w:r>
      <w:r>
        <w:rPr>
          <w:rFonts w:hint="eastAsia" w:ascii="楷体_GB2312" w:hAnsi="楷体_GB2312" w:eastAsia="楷体_GB2312" w:cs="楷体_GB2312"/>
          <w:color w:val="000000"/>
          <w:sz w:val="32"/>
          <w:szCs w:val="32"/>
        </w:rPr>
        <w:t>（二）煤耗数据采集方法</w:t>
      </w:r>
      <w:r>
        <w:rPr>
          <w:rFonts w:hint="eastAsia" w:ascii="楷体_GB2312" w:hAnsi="楷体_GB2312" w:eastAsia="楷体_GB2312" w:cs="楷体_GB2312"/>
          <w:color w:val="000000"/>
          <w:sz w:val="32"/>
          <w:szCs w:val="32"/>
          <w:lang w:eastAsia="zh-CN"/>
        </w:rPr>
        <w:t>。</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由建筑所有权人或使用权人采取逐户统计各用户煤消耗量，累加获得整栋楼（行政村）的能耗。</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 xml:space="preserve">  </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lang w:val="en-US" w:eastAsia="zh-CN"/>
        </w:rPr>
        <w:t xml:space="preserve"> </w:t>
      </w:r>
      <w:r>
        <w:rPr>
          <w:rFonts w:hint="eastAsia" w:ascii="楷体_GB2312" w:hAnsi="楷体_GB2312" w:eastAsia="楷体_GB2312" w:cs="楷体_GB2312"/>
          <w:color w:val="000000"/>
          <w:sz w:val="32"/>
          <w:szCs w:val="32"/>
        </w:rPr>
        <w:t>（三）天然气、液化石油气、人工煤气能耗数据采集方法</w:t>
      </w:r>
      <w:r>
        <w:rPr>
          <w:rFonts w:hint="eastAsia" w:ascii="楷体_GB2312" w:hAnsi="楷体_GB2312" w:eastAsia="楷体_GB2312" w:cs="楷体_GB2312"/>
          <w:color w:val="000000"/>
          <w:sz w:val="32"/>
          <w:szCs w:val="32"/>
          <w:lang w:eastAsia="zh-CN"/>
        </w:rPr>
        <w:t>。</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对天然气和人工煤气能耗数据采集有两种方式：一是由燃气公司提供能耗数据；二是由建筑使用权人或所有权人逐户统计各用户能耗，累加获得整栋楼（行政村）的能耗。对分户购买的液化石油气</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val="en-US" w:eastAsia="zh-CN"/>
        </w:rPr>
        <w:t>由建筑的使用权人或所有权人逐户统计各用户能耗，累加获得整栋楼的能耗。</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楷体_GB2312" w:hAnsi="楷体_GB2312" w:eastAsia="楷体_GB2312" w:cs="楷体_GB2312"/>
          <w:color w:val="000000"/>
          <w:sz w:val="32"/>
          <w:szCs w:val="32"/>
          <w:lang w:val="en-US" w:eastAsia="zh-CN"/>
        </w:rPr>
      </w:pPr>
      <w:r>
        <w:rPr>
          <w:rFonts w:hint="eastAsia" w:ascii="仿宋_GB2312" w:hAnsi="仿宋" w:eastAsia="仿宋_GB2312"/>
          <w:color w:val="000000"/>
          <w:sz w:val="32"/>
          <w:szCs w:val="32"/>
          <w:lang w:val="en-US" w:eastAsia="zh-CN"/>
        </w:rPr>
        <w:t xml:space="preserve">    </w:t>
      </w:r>
      <w:r>
        <w:rPr>
          <w:rFonts w:hint="eastAsia" w:ascii="楷体_GB2312" w:hAnsi="楷体_GB2312" w:eastAsia="楷体_GB2312" w:cs="楷体_GB2312"/>
          <w:color w:val="000000"/>
          <w:sz w:val="32"/>
          <w:szCs w:val="32"/>
          <w:lang w:val="en-US" w:eastAsia="zh-CN"/>
        </w:rPr>
        <w:t>（四）水消耗数据采集方法。</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由供水公司提供消耗数据或由建筑使用权人或所有权人逐户统计各用户用水量，累加获得整栋楼（行政村）的总用水量。</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 xml:space="preserve">    </w:t>
      </w:r>
      <w:r>
        <w:rPr>
          <w:rFonts w:hint="eastAsia" w:ascii="楷体_GB2312" w:hAnsi="楷体_GB2312" w:eastAsia="楷体_GB2312" w:cs="楷体_GB2312"/>
          <w:color w:val="000000"/>
          <w:sz w:val="32"/>
          <w:szCs w:val="32"/>
          <w:lang w:eastAsia="zh-CN"/>
        </w:rPr>
        <w:t>（五）其他。</w:t>
      </w:r>
    </w:p>
    <w:p>
      <w:pPr>
        <w:pStyle w:val="9"/>
        <w:keepNext w:val="0"/>
        <w:keepLines w:val="0"/>
        <w:pageBreakBefore w:val="0"/>
        <w:shd w:val="clear" w:color="auto" w:fill="FFFFFF"/>
        <w:kinsoku/>
        <w:wordWrap/>
        <w:overflowPunct/>
        <w:topLinePunct w:val="0"/>
        <w:autoSpaceDE/>
        <w:autoSpaceDN/>
        <w:bidi w:val="0"/>
        <w:adjustRightInd w:val="0"/>
        <w:snapToGrid/>
        <w:spacing w:before="0" w:beforeLines="0" w:beforeAutospacing="0" w:after="0" w:afterAutospacing="0" w:line="240" w:lineRule="auto"/>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太阳能光热利用系统、太阳能光电利用系统、浅层地热能利用系统、中深层地热能利用系统、生物质能的数据采集方法由建筑所有权人、使用权人、房管部门、村居委会或可再生能源供应商提供相应的统计数据。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Arial"/>
          <w:color w:val="00000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DejaVu Sans">
    <w:altName w:val="宋体"/>
    <w:panose1 w:val="020B0603030804020204"/>
    <w:charset w:val="86"/>
    <w:family w:val="auto"/>
    <w:pitch w:val="default"/>
    <w:sig w:usb0="00000000" w:usb1="00000000" w:usb2="0A246029" w:usb3="0400200C" w:csb0="600001FF" w:csb1="DFFF0000"/>
  </w:font>
  <w:font w:name="文泉驿正黑">
    <w:altName w:val="黑体"/>
    <w:panose1 w:val="02000603000000000000"/>
    <w:charset w:val="86"/>
    <w:family w:val="auto"/>
    <w:pitch w:val="default"/>
    <w:sig w:usb0="00000000" w:usb1="00000000" w:usb2="00000036" w:usb3="00000000" w:csb0="603E000D" w:csb1="D2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414202"/>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6D0CA"/>
    <w:multiLevelType w:val="singleLevel"/>
    <w:tmpl w:val="9B76D0CA"/>
    <w:lvl w:ilvl="0" w:tentative="0">
      <w:start w:val="1"/>
      <w:numFmt w:val="chineseCounting"/>
      <w:suff w:val="nothing"/>
      <w:lvlText w:val="%1、"/>
      <w:lvlJc w:val="left"/>
      <w:rPr>
        <w:rFonts w:hint="eastAsia"/>
      </w:rPr>
    </w:lvl>
  </w:abstractNum>
  <w:abstractNum w:abstractNumId="1">
    <w:nsid w:val="DD95E21F"/>
    <w:multiLevelType w:val="singleLevel"/>
    <w:tmpl w:val="DD95E21F"/>
    <w:lvl w:ilvl="0" w:tentative="0">
      <w:start w:val="1"/>
      <w:numFmt w:val="chineseCounting"/>
      <w:suff w:val="nothing"/>
      <w:lvlText w:val="（%1）"/>
      <w:lvlJc w:val="left"/>
      <w:pPr>
        <w:ind w:left="420" w:leftChars="0" w:firstLine="0" w:firstLineChars="0"/>
      </w:pPr>
      <w:rPr>
        <w:rFonts w:hint="eastAsia"/>
      </w:rPr>
    </w:lvl>
  </w:abstractNum>
  <w:abstractNum w:abstractNumId="2">
    <w:nsid w:val="4BFE84A7"/>
    <w:multiLevelType w:val="singleLevel"/>
    <w:tmpl w:val="4BFE84A7"/>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2A"/>
    <w:rsid w:val="00015B2E"/>
    <w:rsid w:val="00034AE6"/>
    <w:rsid w:val="000517D9"/>
    <w:rsid w:val="00082556"/>
    <w:rsid w:val="000F1475"/>
    <w:rsid w:val="0013013F"/>
    <w:rsid w:val="00165CE7"/>
    <w:rsid w:val="001720E3"/>
    <w:rsid w:val="001B21CF"/>
    <w:rsid w:val="001B3FF1"/>
    <w:rsid w:val="001C1F5B"/>
    <w:rsid w:val="001E7240"/>
    <w:rsid w:val="00206E3A"/>
    <w:rsid w:val="002165AE"/>
    <w:rsid w:val="002510C1"/>
    <w:rsid w:val="00251695"/>
    <w:rsid w:val="00297E74"/>
    <w:rsid w:val="002D0911"/>
    <w:rsid w:val="002E30D7"/>
    <w:rsid w:val="002E5535"/>
    <w:rsid w:val="002F0CB5"/>
    <w:rsid w:val="0030496B"/>
    <w:rsid w:val="003759FE"/>
    <w:rsid w:val="00392697"/>
    <w:rsid w:val="003B1849"/>
    <w:rsid w:val="003B4C61"/>
    <w:rsid w:val="003C2DB7"/>
    <w:rsid w:val="003C4AB8"/>
    <w:rsid w:val="003F34ED"/>
    <w:rsid w:val="003F61FD"/>
    <w:rsid w:val="00424A17"/>
    <w:rsid w:val="00436925"/>
    <w:rsid w:val="0046019D"/>
    <w:rsid w:val="00480779"/>
    <w:rsid w:val="004C2D08"/>
    <w:rsid w:val="004C6975"/>
    <w:rsid w:val="00503D4B"/>
    <w:rsid w:val="00515F05"/>
    <w:rsid w:val="00533536"/>
    <w:rsid w:val="00563D70"/>
    <w:rsid w:val="005C3F3C"/>
    <w:rsid w:val="005F1C75"/>
    <w:rsid w:val="00652532"/>
    <w:rsid w:val="00664C8D"/>
    <w:rsid w:val="006C2EC7"/>
    <w:rsid w:val="006E0FEE"/>
    <w:rsid w:val="0072236C"/>
    <w:rsid w:val="00723640"/>
    <w:rsid w:val="007279F0"/>
    <w:rsid w:val="00732DD4"/>
    <w:rsid w:val="0075577C"/>
    <w:rsid w:val="00774328"/>
    <w:rsid w:val="007E187A"/>
    <w:rsid w:val="007F44D9"/>
    <w:rsid w:val="00803409"/>
    <w:rsid w:val="00824C98"/>
    <w:rsid w:val="008253B9"/>
    <w:rsid w:val="00830207"/>
    <w:rsid w:val="008530E6"/>
    <w:rsid w:val="0086766B"/>
    <w:rsid w:val="00890044"/>
    <w:rsid w:val="008B11E6"/>
    <w:rsid w:val="008C07C3"/>
    <w:rsid w:val="008C58BF"/>
    <w:rsid w:val="008F1BB8"/>
    <w:rsid w:val="008F2541"/>
    <w:rsid w:val="00941B71"/>
    <w:rsid w:val="009921B8"/>
    <w:rsid w:val="00995326"/>
    <w:rsid w:val="009A7BAF"/>
    <w:rsid w:val="009B3FAD"/>
    <w:rsid w:val="009F6690"/>
    <w:rsid w:val="00A33559"/>
    <w:rsid w:val="00A34886"/>
    <w:rsid w:val="00A67263"/>
    <w:rsid w:val="00A9526A"/>
    <w:rsid w:val="00AF2893"/>
    <w:rsid w:val="00B50F44"/>
    <w:rsid w:val="00C14968"/>
    <w:rsid w:val="00C2705F"/>
    <w:rsid w:val="00C52427"/>
    <w:rsid w:val="00C562A3"/>
    <w:rsid w:val="00C619C9"/>
    <w:rsid w:val="00CC560B"/>
    <w:rsid w:val="00CE76D0"/>
    <w:rsid w:val="00CE786A"/>
    <w:rsid w:val="00CF17DE"/>
    <w:rsid w:val="00CF56FB"/>
    <w:rsid w:val="00D013F4"/>
    <w:rsid w:val="00D0462A"/>
    <w:rsid w:val="00D47409"/>
    <w:rsid w:val="00D66FF9"/>
    <w:rsid w:val="00D73C10"/>
    <w:rsid w:val="00DF74AA"/>
    <w:rsid w:val="00E502A5"/>
    <w:rsid w:val="00E921B9"/>
    <w:rsid w:val="00ED20E6"/>
    <w:rsid w:val="00F05715"/>
    <w:rsid w:val="00F24FC7"/>
    <w:rsid w:val="00F45B2A"/>
    <w:rsid w:val="00F825B3"/>
    <w:rsid w:val="00F83EE0"/>
    <w:rsid w:val="00FB0C26"/>
    <w:rsid w:val="00FF0819"/>
    <w:rsid w:val="0AC336C9"/>
    <w:rsid w:val="27FC938A"/>
    <w:rsid w:val="309A4680"/>
    <w:rsid w:val="35647AD3"/>
    <w:rsid w:val="3DBC2F51"/>
    <w:rsid w:val="3EE763E6"/>
    <w:rsid w:val="536A238E"/>
    <w:rsid w:val="55970485"/>
    <w:rsid w:val="5CEB7AF2"/>
    <w:rsid w:val="5EAE9E06"/>
    <w:rsid w:val="75CB0F7B"/>
    <w:rsid w:val="75FB66CA"/>
    <w:rsid w:val="76D12BAB"/>
    <w:rsid w:val="77FEE926"/>
    <w:rsid w:val="7BDB6FD4"/>
    <w:rsid w:val="7DE7988A"/>
    <w:rsid w:val="7F5BAA08"/>
    <w:rsid w:val="7F9B3B38"/>
    <w:rsid w:val="7FFF35C1"/>
    <w:rsid w:val="9BFFBFB9"/>
    <w:rsid w:val="BD595765"/>
    <w:rsid w:val="CBF963D8"/>
    <w:rsid w:val="CF7BA95E"/>
    <w:rsid w:val="D94FDE22"/>
    <w:rsid w:val="DFFEF470"/>
    <w:rsid w:val="EF9F4F6C"/>
    <w:rsid w:val="F3FFA764"/>
    <w:rsid w:val="F57EDC06"/>
    <w:rsid w:val="FBF4BF89"/>
    <w:rsid w:val="FEFD604C"/>
    <w:rsid w:val="FF4EA557"/>
    <w:rsid w:val="FF8DAE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4">
    <w:name w:val="annotation subject"/>
    <w:basedOn w:val="5"/>
    <w:next w:val="5"/>
    <w:link w:val="17"/>
    <w:unhideWhenUsed/>
    <w:qFormat/>
    <w:uiPriority w:val="99"/>
    <w:rPr>
      <w:b/>
      <w:bCs/>
    </w:rPr>
  </w:style>
  <w:style w:type="paragraph" w:styleId="5">
    <w:name w:val="annotation text"/>
    <w:basedOn w:val="1"/>
    <w:link w:val="16"/>
    <w:unhideWhenUsed/>
    <w:qFormat/>
    <w:uiPriority w:val="99"/>
    <w:pPr>
      <w:jc w:val="left"/>
    </w:pPr>
  </w:style>
  <w:style w:type="paragraph" w:styleId="6">
    <w:name w:val="Balloon Text"/>
    <w:basedOn w:val="1"/>
    <w:link w:val="18"/>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u w:val="single"/>
    </w:rPr>
  </w:style>
  <w:style w:type="character" w:styleId="12">
    <w:name w:val="annotation reference"/>
    <w:basedOn w:val="10"/>
    <w:unhideWhenUsed/>
    <w:qFormat/>
    <w:uiPriority w:val="99"/>
    <w:rPr>
      <w:sz w:val="21"/>
      <w:szCs w:val="21"/>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character" w:customStyle="1" w:styleId="16">
    <w:name w:val="批注文字 Char"/>
    <w:basedOn w:val="10"/>
    <w:link w:val="5"/>
    <w:semiHidden/>
    <w:qFormat/>
    <w:uiPriority w:val="99"/>
    <w:rPr>
      <w:rFonts w:ascii="Times New Roman" w:hAnsi="Times New Roman" w:eastAsia="宋体" w:cs="Times New Roman"/>
      <w:kern w:val="2"/>
      <w:sz w:val="21"/>
      <w:szCs w:val="24"/>
    </w:rPr>
  </w:style>
  <w:style w:type="character" w:customStyle="1" w:styleId="17">
    <w:name w:val="批注主题 Char"/>
    <w:basedOn w:val="16"/>
    <w:link w:val="4"/>
    <w:semiHidden/>
    <w:qFormat/>
    <w:uiPriority w:val="99"/>
    <w:rPr>
      <w:rFonts w:ascii="Times New Roman" w:hAnsi="Times New Roman" w:eastAsia="宋体" w:cs="Times New Roman"/>
      <w:b/>
      <w:bCs/>
      <w:kern w:val="2"/>
      <w:sz w:val="21"/>
      <w:szCs w:val="24"/>
    </w:rPr>
  </w:style>
  <w:style w:type="character" w:customStyle="1" w:styleId="18">
    <w:name w:val="批注框文本 Char"/>
    <w:basedOn w:val="10"/>
    <w:link w:val="6"/>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3172</Words>
  <Characters>3218</Characters>
  <Lines>23</Lines>
  <Paragraphs>6</Paragraphs>
  <TotalTime>0</TotalTime>
  <ScaleCrop>false</ScaleCrop>
  <LinksUpToDate>false</LinksUpToDate>
  <CharactersWithSpaces>3226</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2022-04-15T01:02:00Z</dcterms:created>
  <dc:creator>刘海柱</dc:creator>
  <cp:lastModifiedBy>节能处</cp:lastModifiedBy>
  <cp:lastPrinted>2023-04-16T19:05:00Z</cp:lastPrinted>
  <dcterms:modified xsi:type="dcterms:W3CDTF">2022-05-17T02:52:47Z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