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fonts/font1.odttf" ContentType="application/vnd.openxmlformats-officedocument.obfuscatedFont"/>
  <Override PartName="/word/fonts/font10.odttf" ContentType="application/vnd.openxmlformats-officedocument.obfuscatedFont"/>
  <Override PartName="/word/fonts/font11.odttf" ContentType="application/vnd.openxmlformats-officedocument.obfuscatedFont"/>
  <Override PartName="/word/fonts/font12.odttf" ContentType="application/vnd.openxmlformats-officedocument.obfuscatedFont"/>
  <Override PartName="/word/fonts/font13.odttf" ContentType="application/vnd.openxmlformats-officedocument.obfuscatedFont"/>
  <Override PartName="/word/fonts/font14.odttf" ContentType="application/vnd.openxmlformats-officedocument.obfuscatedFont"/>
  <Override PartName="/word/fonts/font15.odttf" ContentType="application/vnd.openxmlformats-officedocument.obfuscatedFont"/>
  <Override PartName="/word/fonts/font16.odttf" ContentType="application/vnd.openxmlformats-officedocument.obfuscatedFont"/>
  <Override PartName="/word/fonts/font17.odttf" ContentType="application/vnd.openxmlformats-officedocument.obfuscatedFont"/>
  <Override PartName="/word/fonts/font18.odttf" ContentType="application/vnd.openxmlformats-officedocument.obfuscatedFont"/>
  <Override PartName="/word/fonts/font2.odttf" ContentType="application/vnd.openxmlformats-officedocument.obfuscatedFont"/>
  <Override PartName="/word/fonts/font3.odttf" ContentType="application/vnd.openxmlformats-officedocument.obfuscatedFont"/>
  <Override PartName="/word/fonts/font4.odttf" ContentType="application/vnd.openxmlformats-officedocument.obfuscatedFont"/>
  <Override PartName="/word/fonts/font5.odttf" ContentType="application/vnd.openxmlformats-officedocument.obfuscatedFont"/>
  <Override PartName="/word/fonts/font6.odttf" ContentType="application/vnd.openxmlformats-officedocument.obfuscatedFont"/>
  <Override PartName="/word/fonts/font7.odttf" ContentType="application/vnd.openxmlformats-officedocument.obfuscatedFont"/>
  <Override PartName="/word/fonts/font8.odttf" ContentType="application/vnd.openxmlformats-officedocument.obfuscatedFont"/>
  <Override PartName="/word/fonts/font9.odttf" ContentType="application/vnd.openxmlformats-officedocument.obfuscatedFont"/>
  <Override PartName="/word/footnotes.xml" ContentType="application/vnd.openxmlformats-officedocument.wordprocessingml.footnotes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611" w:wrap="around" w:vAnchor="margin" w:hAnchor="text" w:x="1829" w:y="2180"/>
        <w:widowControl w:val="0"/>
        <w:autoSpaceDE w:val="0"/>
        <w:autoSpaceDN w:val="0"/>
        <w:spacing w:before="0" w:after="0" w:line="439" w:lineRule="exact"/>
        <w:ind w:left="0" w:right="0"/>
        <w:jc w:val="left"/>
        <w:rPr>
          <w:rFonts w:ascii="VCBCAL+FZXBSJW--GB1-0" w:hAnsi="VCBCAL+FZXBSJW--GB1-0" w:cs="VCBCAL+FZXBSJW--GB1-0"/>
          <w:color w:val="000000"/>
          <w:spacing w:val="0"/>
          <w:sz w:val="44"/>
        </w:rPr>
      </w:pPr>
      <w:r>
        <w:rPr>
          <w:rFonts w:ascii="VCBCAL+FZXBSJW--GB1-0" w:hAnsi="VCBCAL+FZXBSJW--GB1-0" w:cs="VCBCAL+FZXBSJW--GB1-0"/>
          <w:color w:val="000000"/>
          <w:spacing w:val="0"/>
          <w:sz w:val="44"/>
        </w:rPr>
        <w:t>新余市加快发展保障性租赁住房的实施意见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为贯彻落实《国务院办公厅关于加快发展保障性租赁住房的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意见》（国办发〔</w:t>
      </w:r>
      <w:r>
        <w:rPr>
          <w:rFonts w:ascii="NBLHBW+TimesNewRomanPSMT"/>
          <w:color w:val="000000"/>
          <w:spacing w:val="0"/>
          <w:sz w:val="32"/>
        </w:rPr>
        <w:t>2021</w:t>
      </w:r>
      <w:r>
        <w:rPr>
          <w:rFonts w:ascii="仿宋" w:hAnsi="仿宋" w:cs="仿宋"/>
          <w:color w:val="000000"/>
          <w:spacing w:val="0"/>
          <w:sz w:val="32"/>
        </w:rPr>
        <w:t>〕</w:t>
      </w:r>
      <w:r>
        <w:rPr>
          <w:rFonts w:ascii="NBLHBW+TimesNewRomanPSMT"/>
          <w:color w:val="000000"/>
          <w:spacing w:val="0"/>
          <w:sz w:val="32"/>
        </w:rPr>
        <w:t>22</w:t>
      </w:r>
      <w:r>
        <w:rPr>
          <w:rFonts w:ascii="仿宋" w:hAnsi="仿宋" w:cs="仿宋"/>
          <w:color w:val="000000"/>
          <w:spacing w:val="0"/>
          <w:sz w:val="32"/>
        </w:rPr>
        <w:t>号）、《江西省人民政府办公厅关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NBLHBW+TimesNewRomanPSMT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于加快发展保障性租赁住房的实施意见》（赣府厅发〔</w:t>
      </w:r>
      <w:r>
        <w:rPr>
          <w:rFonts w:ascii="NBLHBW+TimesNewRomanPSMT"/>
          <w:color w:val="000000"/>
          <w:spacing w:val="0"/>
          <w:sz w:val="32"/>
        </w:rPr>
        <w:t>2021</w:t>
      </w:r>
      <w:r>
        <w:rPr>
          <w:rFonts w:ascii="仿宋" w:hAnsi="仿宋" w:cs="仿宋"/>
          <w:color w:val="000000"/>
          <w:spacing w:val="0"/>
          <w:sz w:val="32"/>
        </w:rPr>
        <w:t>〕</w:t>
      </w:r>
      <w:r>
        <w:rPr>
          <w:rFonts w:ascii="NBLHBW+TimesNewRomanPSMT"/>
          <w:color w:val="000000"/>
          <w:spacing w:val="0"/>
          <w:sz w:val="32"/>
        </w:rPr>
        <w:t>46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号）文件精神，多渠道解决新市民、青年人等群体的阶段性住房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问题，加快构建以公租房、保障性租赁住房和共有产权住房为主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体的住房保障体系，结合我市实际，制定本实施意见。</w:t>
      </w:r>
    </w:p>
    <w:p>
      <w:pPr>
        <w:framePr w:w="10198" w:wrap="around" w:vAnchor="margin" w:hAnchor="text" w:x="1586" w:y="3433"/>
        <w:widowControl w:val="0"/>
        <w:autoSpaceDE w:val="0"/>
        <w:autoSpaceDN w:val="0"/>
        <w:spacing w:before="0" w:after="0" w:line="559" w:lineRule="exact"/>
        <w:ind w:left="641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一、总体方针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（一）指导思想。</w:t>
      </w:r>
      <w:r>
        <w:rPr>
          <w:rFonts w:ascii="仿宋" w:hAnsi="仿宋" w:cs="仿宋"/>
          <w:color w:val="000000"/>
          <w:spacing w:val="0"/>
          <w:sz w:val="32"/>
        </w:rPr>
        <w:t>以习近平新时代中国特色社会主义思想为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指导，全面贯彻党的十九大和十九届历次全会精神，坚持房子是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用来住的、不是用来炒的定位，突出住房的民生属性，以解决新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市民、青年人等群体的住房困难问题为出发点和落脚点，加快建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立多主体供给、多渠道保障、租购并举的住房制度，保持房地产</w:t>
      </w:r>
    </w:p>
    <w:p>
      <w:pPr>
        <w:framePr w:w="10176" w:wrap="around" w:vAnchor="margin" w:hAnchor="text" w:x="1586" w:y="735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市场平稳健康发展，促进实现全体人民住有所居。</w:t>
      </w:r>
    </w:p>
    <w:p>
      <w:pPr>
        <w:framePr w:w="10173" w:wrap="around" w:vAnchor="margin" w:hAnchor="text" w:x="1586" w:y="1071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（二）基本原则。</w:t>
      </w:r>
      <w:r>
        <w:rPr>
          <w:rFonts w:ascii="仿宋" w:hAnsi="仿宋" w:cs="仿宋"/>
          <w:color w:val="000000"/>
          <w:spacing w:val="0"/>
          <w:sz w:val="32"/>
        </w:rPr>
        <w:t>坚持因地制宜、因城施策发展保障性租赁</w:t>
      </w:r>
    </w:p>
    <w:p>
      <w:pPr>
        <w:framePr w:w="10173" w:wrap="around" w:vAnchor="margin" w:hAnchor="text" w:x="1586" w:y="1071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住房，坚持</w:t>
      </w:r>
      <w:r>
        <w:rPr>
          <w:rFonts w:ascii="LPIPRM+TimesNewRomanPSMT" w:hAnsi="LPIPRM+TimesNewRomanPSMT" w:cs="LPIPRM+TimesNewRomanPSMT"/>
          <w:color w:val="000000"/>
          <w:spacing w:val="0"/>
          <w:sz w:val="32"/>
        </w:rPr>
        <w:t>“</w:t>
      </w:r>
      <w:r>
        <w:rPr>
          <w:rFonts w:ascii="仿宋" w:hAnsi="仿宋" w:cs="仿宋"/>
          <w:color w:val="000000"/>
          <w:spacing w:val="0"/>
          <w:sz w:val="32"/>
        </w:rPr>
        <w:t>谁投资、谁所有</w:t>
      </w:r>
      <w:r>
        <w:rPr>
          <w:rFonts w:ascii="LPIPRM+TimesNewRomanPSMT" w:hAnsi="LPIPRM+TimesNewRomanPSMT" w:cs="LPIPRM+TimesNewRomanPSMT"/>
          <w:color w:val="000000"/>
          <w:spacing w:val="0"/>
          <w:sz w:val="32"/>
        </w:rPr>
        <w:t>”</w:t>
      </w:r>
      <w:r>
        <w:rPr>
          <w:rFonts w:ascii="仿宋" w:hAnsi="仿宋" w:cs="仿宋"/>
          <w:color w:val="000000"/>
          <w:spacing w:val="0"/>
          <w:sz w:val="32"/>
        </w:rPr>
        <w:t>，充分发挥市场机制作用，以盘活</w:t>
      </w:r>
    </w:p>
    <w:p>
      <w:pPr>
        <w:framePr w:w="10173" w:wrap="around" w:vAnchor="margin" w:hAnchor="text" w:x="1586" w:y="1071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为主、挖掘存量，多渠道增加保障性租赁住房供给，主要利用闲</w:t>
      </w:r>
    </w:p>
    <w:p>
      <w:pPr>
        <w:framePr w:w="10173" w:wrap="around" w:vAnchor="margin" w:hAnchor="text" w:x="1586" w:y="1071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置土地和闲置房屋建设保障性租赁住房。</w:t>
      </w:r>
    </w:p>
    <w:p>
      <w:pPr>
        <w:framePr w:w="10175" w:wrap="around" w:vAnchor="margin" w:hAnchor="text" w:x="1586" w:y="1294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（三）主要目标。</w:t>
      </w:r>
      <w:r>
        <w:rPr>
          <w:rFonts w:ascii="LPIPRM+TimesNewRomanPSMT" w:hAnsi="LPIPRM+TimesNewRomanPSMT" w:cs="LPIPRM+TimesNewRomanPSMT"/>
          <w:color w:val="000000"/>
          <w:spacing w:val="0"/>
          <w:sz w:val="32"/>
        </w:rPr>
        <w:t>“</w:t>
      </w:r>
      <w:r>
        <w:rPr>
          <w:rFonts w:ascii="仿宋" w:hAnsi="仿宋" w:cs="仿宋"/>
          <w:color w:val="000000"/>
          <w:spacing w:val="0"/>
          <w:sz w:val="32"/>
        </w:rPr>
        <w:t>十四五</w:t>
      </w:r>
      <w:r>
        <w:rPr>
          <w:rFonts w:ascii="LPIPRM+TimesNewRomanPSMT" w:hAnsi="LPIPRM+TimesNewRomanPSMT" w:cs="LPIPRM+TimesNewRomanPSMT"/>
          <w:color w:val="000000"/>
          <w:spacing w:val="0"/>
          <w:sz w:val="32"/>
        </w:rPr>
        <w:t>”</w:t>
      </w:r>
      <w:r>
        <w:rPr>
          <w:rFonts w:ascii="仿宋" w:hAnsi="仿宋" w:cs="仿宋"/>
          <w:color w:val="000000"/>
          <w:spacing w:val="0"/>
          <w:sz w:val="32"/>
        </w:rPr>
        <w:t>期间，建设筹集保障性租赁住房</w:t>
      </w:r>
    </w:p>
    <w:p>
      <w:pPr>
        <w:framePr w:w="10175" w:wrap="around" w:vAnchor="margin" w:hAnchor="text" w:x="1586" w:y="129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NBLHBW+TimesNewRomanPSMT"/>
          <w:color w:val="000000"/>
          <w:spacing w:val="0"/>
          <w:sz w:val="32"/>
        </w:rPr>
        <w:t>2100</w:t>
      </w:r>
      <w:r>
        <w:rPr>
          <w:rFonts w:ascii="仿宋" w:hAnsi="仿宋" w:cs="仿宋"/>
          <w:color w:val="000000"/>
          <w:spacing w:val="0"/>
          <w:sz w:val="32"/>
        </w:rPr>
        <w:t>套（间），多渠道增加保障性租赁住房供给，积极解决新</w:t>
      </w:r>
    </w:p>
    <w:p>
      <w:pPr>
        <w:framePr w:w="10175" w:wrap="around" w:vAnchor="margin" w:hAnchor="text" w:x="1586" w:y="1294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市民、青年人等群体的住房困难，努力实现保障性租赁住房全覆</w:t>
      </w:r>
    </w:p>
    <w:p>
      <w:pPr>
        <w:framePr w:w="1402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2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170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盖，不断增强人民群众的获得感、幸福感、安全感，全面提升城</w:t>
      </w:r>
    </w:p>
    <w:p>
      <w:pPr>
        <w:framePr w:w="10170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市核心竞争力。</w:t>
      </w:r>
    </w:p>
    <w:p>
      <w:pPr>
        <w:framePr w:w="2400" w:wrap="around" w:vAnchor="margin" w:hAnchor="text" w:x="2227" w:y="3373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二、基本要求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（一）保障对象标准。</w:t>
      </w:r>
      <w:r>
        <w:rPr>
          <w:rFonts w:ascii="仿宋" w:hAnsi="仿宋" w:cs="仿宋"/>
          <w:color w:val="000000"/>
          <w:spacing w:val="0"/>
          <w:sz w:val="32"/>
        </w:rPr>
        <w:t>保障性租赁住房不设收入线门槛，主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要面向新市民、青年人等群体供应，解决阶段性住房困难问题，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对已享受公租房保障的和项目所在辖区有自有住房的，不得申请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保障性租赁住房。建设标准以建筑面积不超过 </w:t>
      </w:r>
      <w:r>
        <w:rPr>
          <w:rFonts w:ascii="NBLHBW+TimesNewRomanPSMT"/>
          <w:color w:val="000000"/>
          <w:spacing w:val="0"/>
          <w:sz w:val="32"/>
        </w:rPr>
        <w:t>70</w:t>
      </w:r>
      <w:r>
        <w:rPr>
          <w:rFonts w:ascii="仿宋" w:hAnsi="仿宋" w:cs="仿宋"/>
          <w:color w:val="000000"/>
          <w:spacing w:val="0"/>
          <w:sz w:val="32"/>
        </w:rPr>
        <w:t>平方米的小户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型为主，最高不超过 </w:t>
      </w:r>
      <w:r>
        <w:rPr>
          <w:rFonts w:ascii="NBLHBW+TimesNewRomanPSMT"/>
          <w:color w:val="000000"/>
          <w:spacing w:val="0"/>
          <w:sz w:val="32"/>
        </w:rPr>
        <w:t>90</w:t>
      </w:r>
      <w:r>
        <w:rPr>
          <w:rFonts w:ascii="仿宋" w:hAnsi="仿宋" w:cs="仿宋"/>
          <w:color w:val="000000"/>
          <w:spacing w:val="0"/>
          <w:sz w:val="32"/>
        </w:rPr>
        <w:t>平方米，</w:t>
      </w:r>
      <w:r>
        <w:rPr>
          <w:rFonts w:ascii="NBLHBW+TimesNewRomanPSMT"/>
          <w:color w:val="000000"/>
          <w:spacing w:val="0"/>
          <w:sz w:val="32"/>
        </w:rPr>
        <w:t>70</w:t>
      </w:r>
      <w:r>
        <w:rPr>
          <w:rFonts w:ascii="仿宋" w:hAnsi="仿宋" w:cs="仿宋"/>
          <w:color w:val="000000"/>
          <w:spacing w:val="0"/>
          <w:sz w:val="32"/>
        </w:rPr>
        <w:t xml:space="preserve">平方米（不含）至    </w:t>
      </w:r>
      <w:r>
        <w:rPr>
          <w:rFonts w:ascii="NBLHBW+TimesNewRomanPSMT"/>
          <w:color w:val="000000"/>
          <w:spacing w:val="0"/>
          <w:sz w:val="32"/>
        </w:rPr>
        <w:t>90</w:t>
      </w:r>
      <w:r>
        <w:rPr>
          <w:rFonts w:ascii="仿宋" w:hAnsi="仿宋" w:cs="仿宋"/>
          <w:color w:val="000000"/>
          <w:spacing w:val="0"/>
          <w:sz w:val="32"/>
        </w:rPr>
        <w:t>平方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米的户型面积不超过保障性租赁住房总规模的  </w:t>
      </w:r>
      <w:r>
        <w:rPr>
          <w:rFonts w:ascii="NBLHBW+TimesNewRomanPSMT"/>
          <w:color w:val="000000"/>
          <w:spacing w:val="0"/>
          <w:sz w:val="32"/>
        </w:rPr>
        <w:t>15%</w:t>
      </w:r>
      <w:r>
        <w:rPr>
          <w:rFonts w:ascii="仿宋" w:hAnsi="仿宋" w:cs="仿宋"/>
          <w:color w:val="000000"/>
          <w:spacing w:val="0"/>
          <w:sz w:val="32"/>
        </w:rPr>
        <w:t>。保障性租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赁住房租金低于同地段同品质市场租赁住房租金。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县（区）政府、管委会，市发改委、市自然资源局、市住房城乡</w:t>
      </w:r>
    </w:p>
    <w:p>
      <w:pPr>
        <w:framePr w:w="10303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建设局〕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IWRVBP+FZFSJW--GB1-0" w:hAnsi="IWRVBP+FZFSJW--GB1-0" w:cs="IWRVBP+FZFSJW--GB1-0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（二）多方筹集房源。</w:t>
      </w:r>
      <w:r>
        <w:rPr>
          <w:rFonts w:ascii="IWRVBP+FZFSJW--GB1-0" w:hAnsi="IWRVBP+FZFSJW--GB1-0" w:cs="IWRVBP+FZFSJW--GB1-0"/>
          <w:color w:val="000000"/>
          <w:spacing w:val="0"/>
          <w:sz w:val="32"/>
        </w:rPr>
        <w:t>鼓励住房租赁企业、房地产开发企业、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IWRVBP+FZFSJW--GB1-0" w:hAnsi="IWRVBP+FZFSJW--GB1-0" w:cs="IWRVBP+FZFSJW--GB1-0"/>
          <w:color w:val="000000"/>
          <w:spacing w:val="0"/>
          <w:sz w:val="32"/>
        </w:rPr>
      </w:pPr>
      <w:r>
        <w:rPr>
          <w:rFonts w:ascii="IWRVBP+FZFSJW--GB1-0" w:hAnsi="IWRVBP+FZFSJW--GB1-0" w:cs="IWRVBP+FZFSJW--GB1-0"/>
          <w:color w:val="000000"/>
          <w:spacing w:val="0"/>
          <w:sz w:val="32"/>
        </w:rPr>
        <w:t>产业园区企业、大专院校等各类企事业单位、集体经济组织等多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IWRVBP+FZFSJW--GB1-0" w:hAnsi="IWRVBP+FZFSJW--GB1-0" w:cs="IWRVBP+FZFSJW--GB1-0"/>
          <w:color w:val="000000"/>
          <w:spacing w:val="0"/>
          <w:sz w:val="32"/>
        </w:rPr>
      </w:pPr>
      <w:r>
        <w:rPr>
          <w:rFonts w:ascii="IWRVBP+FZFSJW--GB1-0" w:hAnsi="IWRVBP+FZFSJW--GB1-0" w:cs="IWRVBP+FZFSJW--GB1-0"/>
          <w:color w:val="000000"/>
          <w:spacing w:val="0"/>
          <w:sz w:val="32"/>
        </w:rPr>
        <w:t>方主体参与投资建设。主要利用存量土地和存量房屋建设保障性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IWRVBP+FZFSJW--GB1-0" w:hAnsi="IWRVBP+FZFSJW--GB1-0" w:cs="IWRVBP+FZFSJW--GB1-0"/>
          <w:color w:val="000000"/>
          <w:spacing w:val="0"/>
          <w:sz w:val="32"/>
        </w:rPr>
      </w:pPr>
      <w:r>
        <w:rPr>
          <w:rFonts w:ascii="IWRVBP+FZFSJW--GB1-0" w:hAnsi="IWRVBP+FZFSJW--GB1-0" w:cs="IWRVBP+FZFSJW--GB1-0"/>
          <w:color w:val="000000"/>
          <w:spacing w:val="0"/>
          <w:sz w:val="32"/>
        </w:rPr>
        <w:t>租赁住房，包括利用集体经营性建设用地、企事业单位自有闲置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IWRVBP+FZFSJW--GB1-0" w:hAnsi="IWRVBP+FZFSJW--GB1-0" w:cs="IWRVBP+FZFSJW--GB1-0"/>
          <w:color w:val="000000"/>
          <w:spacing w:val="0"/>
          <w:sz w:val="32"/>
        </w:rPr>
      </w:pPr>
      <w:r>
        <w:rPr>
          <w:rFonts w:ascii="IWRVBP+FZFSJW--GB1-0" w:hAnsi="IWRVBP+FZFSJW--GB1-0" w:cs="IWRVBP+FZFSJW--GB1-0"/>
          <w:color w:val="000000"/>
          <w:spacing w:val="0"/>
          <w:sz w:val="32"/>
        </w:rPr>
        <w:t>土地、产业园区配套用地和存量闲置房屋建设，适当利用新供应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IWRVBP+FZFSJW--GB1-0" w:hAnsi="IWRVBP+FZFSJW--GB1-0" w:cs="IWRVBP+FZFSJW--GB1-0"/>
          <w:color w:val="000000"/>
          <w:spacing w:val="0"/>
          <w:sz w:val="32"/>
        </w:rPr>
        <w:t>国有建设用地建设，并合理配套商业服务设施。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（区）政府、管委会，市住房城乡建设局、市自然资源局、市教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育局、市卫生健康委、市国资委、市机关事务管理中心〕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5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（三）科学选址布局。</w:t>
      </w:r>
      <w:r>
        <w:rPr>
          <w:rFonts w:ascii="仿宋" w:hAnsi="仿宋" w:cs="仿宋"/>
          <w:color w:val="000000"/>
          <w:spacing w:val="0"/>
          <w:sz w:val="32"/>
        </w:rPr>
        <w:t>统筹考虑保障性租赁住房选址布局，</w:t>
      </w:r>
    </w:p>
    <w:p>
      <w:pPr>
        <w:framePr w:w="10319" w:wrap="around" w:vAnchor="margin" w:hAnchor="text" w:x="1586" w:y="897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鼓励在产业园区、高等院校、科研机构、大中型企业等单位及交</w:t>
      </w:r>
    </w:p>
    <w:p>
      <w:pPr>
        <w:framePr w:w="1402" w:wrap="around" w:vAnchor="margin" w:hAnchor="text" w:x="9451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3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3" o:spid="_x0000_s1029" o:spt="75" type="#_x0000_t75" style="position:absolute;left:0pt;margin-left:431.35pt;margin-top:361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4" o:spid="_x0000_s1030" o:spt="75" type="#_x0000_t75" style="position:absolute;left:0pt;margin-left:412.5pt;margin-top:585.95pt;height:22.05pt;width:14.5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457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通站点附近等交通便利区域，以及城市建设重点片区规划发展保</w:t>
      </w:r>
    </w:p>
    <w:p>
      <w:pPr>
        <w:framePr w:w="10457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障性租赁住房，促进产城融合、职住平衡。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</w:t>
      </w:r>
    </w:p>
    <w:p>
      <w:pPr>
        <w:framePr w:w="10457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政府、管委会，市自然资源局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（四）公共服务支持。</w:t>
      </w:r>
      <w:r>
        <w:rPr>
          <w:rFonts w:ascii="仿宋" w:hAnsi="仿宋" w:cs="仿宋"/>
          <w:color w:val="000000"/>
          <w:spacing w:val="0"/>
          <w:sz w:val="32"/>
        </w:rPr>
        <w:t>保障性租赁住房承租人可以按照规定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办理户口迁入登记或申领居住证，按规定享受义务教育、医疗卫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生、养老等基本公共服务。支持承租户提取住房公积金用于支付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保障性租赁住房租金。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〔责任单位：县（区）政府、管委会，市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公安局、市教育局、市卫生健康委、市人力资源社会保障局、市</w:t>
      </w:r>
    </w:p>
    <w:p>
      <w:pPr>
        <w:framePr w:w="10211" w:wrap="around" w:vAnchor="margin" w:hAnchor="text" w:x="1586" w:y="393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民政局、市住房公积金管理中心〕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（五）强化宣传引导。</w:t>
      </w:r>
      <w:r>
        <w:rPr>
          <w:rFonts w:ascii="仿宋" w:hAnsi="仿宋" w:cs="仿宋"/>
          <w:color w:val="000000"/>
          <w:spacing w:val="0"/>
          <w:sz w:val="32"/>
        </w:rPr>
        <w:t>各级人民政府、各相关部门要广泛开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展宣传，充分利用报刊、宣传手册等传统媒体及互联网、官网、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官微等新媒体，多渠道、广覆盖大力宣传报道保障性租赁住房相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关政策，让广大企业、群众知晓政策规定、熟知办理流程。畅通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线上线下沟通交流渠道，主动收集整理市场主体和群众的意见建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议，及时回应社会关切，加强舆情监测，严肃查处散布谣言、恶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意炒作等违法违规行为，营造良好舆论环境。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</w:t>
      </w:r>
    </w:p>
    <w:p>
      <w:pPr>
        <w:framePr w:w="10633" w:wrap="around" w:vAnchor="margin" w:hAnchor="text" w:x="1586" w:y="729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政府、管委会，市住房城乡建设局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2400" w:wrap="around" w:vAnchor="margin" w:hAnchor="text" w:x="2227" w:y="11773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三、主要工作</w:t>
      </w:r>
    </w:p>
    <w:p>
      <w:pPr>
        <w:framePr w:w="3695" w:wrap="around" w:vAnchor="margin" w:hAnchor="text" w:x="2227" w:y="12332"/>
        <w:widowControl w:val="0"/>
        <w:autoSpaceDE w:val="0"/>
        <w:autoSpaceDN w:val="0"/>
        <w:spacing w:before="0" w:after="0" w:line="35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（一）项目申报与实施</w:t>
      </w:r>
    </w:p>
    <w:p>
      <w:pPr>
        <w:framePr w:w="10174" w:wrap="around" w:vAnchor="margin" w:hAnchor="text" w:x="1586" w:y="1288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1.</w:t>
      </w:r>
      <w:r>
        <w:rPr>
          <w:rFonts w:ascii="仿宋" w:hAnsi="仿宋" w:cs="仿宋"/>
          <w:color w:val="000000"/>
          <w:spacing w:val="0"/>
          <w:sz w:val="32"/>
        </w:rPr>
        <w:t>项目申请。项目申请单位向项目所在地县区住建部门提</w:t>
      </w:r>
    </w:p>
    <w:p>
      <w:pPr>
        <w:framePr w:w="10174" w:wrap="around" w:vAnchor="margin" w:hAnchor="text" w:x="1586" w:y="128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出申请，由县区住建部门受理，实行常态化申请受理机制。新建</w:t>
      </w:r>
    </w:p>
    <w:p>
      <w:pPr>
        <w:framePr w:w="10174" w:wrap="around" w:vAnchor="margin" w:hAnchor="text" w:x="1586" w:y="128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项目应提交申请表、用地手续（委托实施的需提交授权委托书或</w:t>
      </w:r>
    </w:p>
    <w:p>
      <w:pPr>
        <w:framePr w:w="1402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4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5" o:spid="_x0000_s1031" o:spt="75" type="#_x0000_t75" style="position:absolute;left:0pt;margin-left:376.5pt;margin-top:137.95pt;height:22.05pt;width:13.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7" o:title=""/>
            <o:lock v:ext="edit" aspectratio="t"/>
          </v:shape>
        </w:pict>
      </w:r>
      <w:r>
        <w:pict>
          <v:shape id="_x00006" o:spid="_x0000_s1032" o:spt="75" type="#_x0000_t75" style="position:absolute;left:0pt;margin-left:287.35pt;margin-top:165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7" o:spid="_x0000_s1033" o:spt="75" type="#_x0000_t75" style="position:absolute;left:0pt;margin-left:387.3pt;margin-top:529.95pt;height:22.05pt;width:10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8" o:title=""/>
            <o:lock v:ext="edit" aspectratio="t"/>
          </v:shape>
        </w:pict>
      </w:r>
      <w:r>
        <w:pict>
          <v:shape id="_x00008" o:spid="_x0000_s1034" o:spt="75" type="#_x0000_t75" style="position:absolute;left:0pt;margin-left:319.35pt;margin-top:557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委托合同）、项目建设方案（附相关图纸）、营业执照等相关资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料。改建项目应提交申请表、房屋权属证明（委托实施的需提交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改建授权委托书或委托合同）、改建方案（附相关图纸）、运营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方案、营业执照等相关资料。住宅改造装修项目应提交申请表、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房屋权属证明（委托实施的需提交改造装修授权委托书或委托合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同）、改造装修方案、运营方案、营业执照等相关资料。保障性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租赁住房应按照《住房和城乡建设部办公厅关于集中式租赁住房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建设适用标准的通知》（建办标〔 </w:t>
      </w:r>
      <w:r>
        <w:rPr>
          <w:rFonts w:ascii="NBLHBW+TimesNewRomanPSMT"/>
          <w:color w:val="000000"/>
          <w:spacing w:val="0"/>
          <w:sz w:val="32"/>
        </w:rPr>
        <w:t>2021</w:t>
      </w:r>
      <w:r>
        <w:rPr>
          <w:rFonts w:ascii="仿宋" w:hAnsi="仿宋" w:cs="仿宋"/>
          <w:color w:val="000000"/>
          <w:spacing w:val="0"/>
          <w:sz w:val="32"/>
        </w:rPr>
        <w:t>〕</w:t>
      </w:r>
      <w:r>
        <w:rPr>
          <w:rFonts w:ascii="NBLHBW+TimesNewRomanPSMT"/>
          <w:color w:val="000000"/>
          <w:spacing w:val="0"/>
          <w:sz w:val="32"/>
        </w:rPr>
        <w:t>19</w:t>
      </w:r>
      <w:r>
        <w:rPr>
          <w:rFonts w:ascii="仿宋" w:hAnsi="仿宋" w:cs="仿宋"/>
          <w:color w:val="000000"/>
          <w:spacing w:val="0"/>
          <w:sz w:val="32"/>
        </w:rPr>
        <w:t>号）等有关要求，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执行《住宅建筑规范》相关标准，提供简约、环保的基本装修，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配备基本生活家电，具备入住条件。另外，土地性质为三类工业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用地和三类物流仓储用地的非居住存量房屋，不得改建为保障性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租赁住房。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〔责任单位：县（区）政府、管委会〕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2.</w:t>
      </w:r>
      <w:r>
        <w:rPr>
          <w:rFonts w:ascii="仿宋" w:hAnsi="仿宋" w:cs="仿宋"/>
          <w:color w:val="000000"/>
          <w:spacing w:val="0"/>
          <w:sz w:val="32"/>
        </w:rPr>
        <w:t>项目认定。项目审查由县（区）政府、管委会牵头组织，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县区住建部门具体承办。由县（区）人民政府、管委会组织有关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部门联合审查建设方案，出具保障性租赁住房项目认定书，从项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目申请到完成认定原则上不超过 </w:t>
      </w:r>
      <w:r>
        <w:rPr>
          <w:rFonts w:ascii="NBLHBW+TimesNewRomanPSMT"/>
          <w:color w:val="000000"/>
          <w:spacing w:val="0"/>
          <w:sz w:val="32"/>
        </w:rPr>
        <w:t>10</w:t>
      </w:r>
      <w:r>
        <w:rPr>
          <w:rFonts w:ascii="仿宋" w:hAnsi="仿宋" w:cs="仿宋"/>
          <w:color w:val="000000"/>
          <w:spacing w:val="0"/>
          <w:sz w:val="32"/>
        </w:rPr>
        <w:t>个工作日。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（区）政府、管委会，市发改委、市自然资源局、市住房城乡建</w:t>
      </w:r>
    </w:p>
    <w:p>
      <w:pPr>
        <w:framePr w:w="10361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设局〕</w:t>
      </w:r>
    </w:p>
    <w:p>
      <w:pPr>
        <w:framePr w:w="10355" w:wrap="around" w:vAnchor="margin" w:hAnchor="text" w:x="1586" w:y="1232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3.</w:t>
      </w:r>
      <w:r>
        <w:rPr>
          <w:rFonts w:ascii="仿宋" w:hAnsi="仿宋" w:cs="仿宋"/>
          <w:color w:val="000000"/>
          <w:spacing w:val="0"/>
          <w:sz w:val="32"/>
        </w:rPr>
        <w:t>项目报建。对已出具项目认定书的保障性租赁住房项目，</w:t>
      </w:r>
    </w:p>
    <w:p>
      <w:pPr>
        <w:framePr w:w="10355" w:wrap="around" w:vAnchor="margin" w:hAnchor="text" w:x="1586" w:y="1232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相关部门应根据保障性租赁住房项目认定书办理相关手续。不涉</w:t>
      </w:r>
    </w:p>
    <w:p>
      <w:pPr>
        <w:framePr w:w="10355" w:wrap="around" w:vAnchor="margin" w:hAnchor="text" w:x="1586" w:y="1232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及土地权属变化的项目，可用已有用地手续等材料作为土地证明</w:t>
      </w:r>
    </w:p>
    <w:p>
      <w:pPr>
        <w:framePr w:w="10355" w:wrap="around" w:vAnchor="margin" w:hAnchor="text" w:x="1586" w:y="1232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文件，不再办理用地手续。</w:t>
      </w:r>
    </w:p>
    <w:p>
      <w:pPr>
        <w:framePr w:w="1402" w:wrap="around" w:vAnchor="margin" w:hAnchor="text" w:x="9451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5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对于利用集体经营性建设用地建设保障性租赁住房的项目，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自然资源部门、住建部门应受理并依法依规办理用地规划许可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（建设项目用地预审与选址意见核发、建设用地规划许可证核发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等事项）、工程建设许可（建设工程规划许可证核发等事项）、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施工许可（建筑工程施工许可证核发等事项）。</w:t>
      </w:r>
    </w:p>
    <w:p>
      <w:pPr>
        <w:framePr w:w="10175" w:wrap="around" w:vAnchor="margin" w:hAnchor="text" w:x="1586" w:y="5053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对于利用企事业单位自有闲置土地（含低效和闲置工业用</w:t>
      </w:r>
    </w:p>
    <w:p>
      <w:pPr>
        <w:framePr w:w="10175" w:wrap="around" w:vAnchor="margin" w:hAnchor="text" w:x="1586" w:y="505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地）和利用产业园区配套用地建设保障性租赁住房的项目，自然</w:t>
      </w:r>
    </w:p>
    <w:p>
      <w:pPr>
        <w:framePr w:w="10175" w:wrap="around" w:vAnchor="margin" w:hAnchor="text" w:x="1586" w:y="505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资源部门应受理并依法依规办理变更土地用途以及调整相关技</w:t>
      </w:r>
    </w:p>
    <w:p>
      <w:pPr>
        <w:framePr w:w="10175" w:wrap="around" w:vAnchor="margin" w:hAnchor="text" w:x="1586" w:y="505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术指标等相关手续。</w:t>
      </w:r>
    </w:p>
    <w:p>
      <w:pPr>
        <w:framePr w:w="10303" w:wrap="around" w:vAnchor="margin" w:hAnchor="text" w:x="1586" w:y="7295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对于利用非居住存量房屋改建作为保障性租赁住房的项目，</w:t>
      </w:r>
    </w:p>
    <w:p>
      <w:pPr>
        <w:framePr w:w="10303" w:wrap="around" w:vAnchor="margin" w:hAnchor="text" w:x="1586" w:y="729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自然资源部门应受理并依法依规出具同意改变用途的意见，住建</w:t>
      </w:r>
    </w:p>
    <w:p>
      <w:pPr>
        <w:framePr w:w="10303" w:wrap="around" w:vAnchor="margin" w:hAnchor="text" w:x="1586" w:y="729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部门应根据同意改变用途的意见受理并办理建设手续。住宅可直</w:t>
      </w:r>
    </w:p>
    <w:p>
      <w:pPr>
        <w:framePr w:w="10303" w:wrap="around" w:vAnchor="margin" w:hAnchor="text" w:x="1586" w:y="729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接办理改造装修手续。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〔责任单位：县（区）政府、管委会，市</w:t>
      </w:r>
    </w:p>
    <w:p>
      <w:pPr>
        <w:framePr w:w="10303" w:wrap="around" w:vAnchor="margin" w:hAnchor="text" w:x="1586" w:y="729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发改委、市自然资源局、市住房城乡建设局〕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4.</w:t>
      </w:r>
      <w:r>
        <w:rPr>
          <w:rFonts w:ascii="仿宋" w:hAnsi="仿宋" w:cs="仿宋"/>
          <w:color w:val="000000"/>
          <w:spacing w:val="0"/>
          <w:sz w:val="32"/>
        </w:rPr>
        <w:t>项目监管。保障性租赁住房项目各项手续齐全后，方可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组织项目实施。项目建设单位要落实工程质量首要责任，勘察、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设计、施工、监理单位要落实工程质量主体责任。水、电、气、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路、讯等城市基础设施项目要与保障性租赁住房同步设计、同步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建设、同步交付使用。住建部门要加大对保障性租赁住房工程质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量安全监管，对质量结构安全消防安全等进行重点监管。</w:t>
      </w:r>
      <w:r>
        <w:rPr>
          <w:rFonts w:ascii="华文楷体" w:hAnsi="华文楷体" w:cs="华文楷体"/>
          <w:color w:val="000000"/>
          <w:spacing w:val="0"/>
          <w:sz w:val="32"/>
        </w:rPr>
        <w:t>〔责任</w:t>
      </w:r>
    </w:p>
    <w:p>
      <w:pPr>
        <w:framePr w:w="10303" w:wrap="around" w:vAnchor="margin" w:hAnchor="text" w:x="1586" w:y="1008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单位：县（区）政府、管委会，市住房城乡建设局〕</w:t>
      </w:r>
    </w:p>
    <w:p>
      <w:pPr>
        <w:framePr w:w="9438" w:wrap="around" w:vAnchor="margin" w:hAnchor="text" w:x="2227" w:y="14004"/>
        <w:widowControl w:val="0"/>
        <w:autoSpaceDE w:val="0"/>
        <w:autoSpaceDN w:val="0"/>
        <w:spacing w:before="0" w:after="0" w:line="353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5.</w:t>
      </w:r>
      <w:r>
        <w:rPr>
          <w:rFonts w:ascii="仿宋" w:hAnsi="仿宋" w:cs="仿宋"/>
          <w:color w:val="000000"/>
          <w:spacing w:val="0"/>
          <w:sz w:val="32"/>
        </w:rPr>
        <w:t>项目验收。项目建成后由项目单位向项目所在县区住建</w:t>
      </w:r>
    </w:p>
    <w:p>
      <w:pPr>
        <w:framePr w:w="1402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6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部门申请保障性租赁住房项目验收，住建部门应组织联合竣工验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收（规划、土地、人防、消防、档案等验收及建筑工程竣工验收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备案），各部门按职责验收后出具验收意见，住建部门形成结论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性验收意见，验收合格的项目方可投入运营使用。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县（区）政府、管委会，市发改委、市财政局、市自然资源局、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市住房城乡建设局、市人防办〕</w:t>
      </w:r>
    </w:p>
    <w:p>
      <w:pPr>
        <w:framePr w:w="10501" w:wrap="around" w:vAnchor="margin" w:hAnchor="text" w:x="1586" w:y="5605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6.</w:t>
      </w:r>
      <w:r>
        <w:rPr>
          <w:rFonts w:ascii="仿宋" w:hAnsi="仿宋" w:cs="仿宋"/>
          <w:color w:val="000000"/>
          <w:spacing w:val="0"/>
          <w:sz w:val="32"/>
        </w:rPr>
        <w:t>项目权属管理。保障性租赁住房项目须整体确权，不得</w:t>
      </w:r>
    </w:p>
    <w:p>
      <w:pPr>
        <w:framePr w:w="10501" w:wrap="around" w:vAnchor="margin" w:hAnchor="text" w:x="1586" w:y="560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分割登记、分割转让、分割抵押，不得上市销售或变相销售。不</w:t>
      </w:r>
    </w:p>
    <w:p>
      <w:pPr>
        <w:framePr w:w="10501" w:wrap="around" w:vAnchor="margin" w:hAnchor="text" w:x="1586" w:y="560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动产权证应附记保障租赁住房项目，并附记上述内容。保障性租</w:t>
      </w:r>
    </w:p>
    <w:p>
      <w:pPr>
        <w:framePr w:w="10501" w:wrap="around" w:vAnchor="margin" w:hAnchor="text" w:x="1586" w:y="560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赁住房如遇征收拆迁，仍按原土地用途和取得方式进行补偿。</w:t>
      </w:r>
      <w:r>
        <w:rPr>
          <w:rFonts w:ascii="华文楷体" w:hAnsi="华文楷体" w:cs="华文楷体"/>
          <w:color w:val="000000"/>
          <w:spacing w:val="0"/>
          <w:sz w:val="32"/>
        </w:rPr>
        <w:t>〔责</w:t>
      </w:r>
    </w:p>
    <w:p>
      <w:pPr>
        <w:framePr w:w="10501" w:wrap="around" w:vAnchor="margin" w:hAnchor="text" w:x="1586" w:y="560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任单位：县（区）政府、管委会，市自然资源局〕</w:t>
      </w:r>
    </w:p>
    <w:p>
      <w:pPr>
        <w:framePr w:w="2726" w:wrap="around" w:vAnchor="margin" w:hAnchor="text" w:x="2227" w:y="8413"/>
        <w:widowControl w:val="0"/>
        <w:autoSpaceDE w:val="0"/>
        <w:autoSpaceDN w:val="0"/>
        <w:spacing w:before="0" w:after="0" w:line="35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（二）运营管理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1.</w:t>
      </w:r>
      <w:r>
        <w:rPr>
          <w:rFonts w:ascii="仿宋" w:hAnsi="仿宋" w:cs="仿宋"/>
          <w:color w:val="000000"/>
          <w:spacing w:val="0"/>
          <w:sz w:val="32"/>
        </w:rPr>
        <w:t>运营主体。保障性租赁住房项目由其所有权人或者其委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托的运营单位运营管理，运营管理接受所在县区住建部门监督。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保障性租赁住房产权单位或运营单位应当做好保障性租赁住房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及其配套设施的维修、养护工作，确保保障性租赁住房正常使用。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〔责任单位：县（区）政府、管委会，市住房城乡建设局〕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2.</w:t>
      </w:r>
      <w:r>
        <w:rPr>
          <w:rFonts w:ascii="仿宋" w:hAnsi="仿宋" w:cs="仿宋"/>
          <w:color w:val="000000"/>
          <w:spacing w:val="0"/>
          <w:sz w:val="32"/>
        </w:rPr>
        <w:t>纳管记录。项目验收后，申请单位应在新余市住房租赁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监管服务平台办理企业记录、项目记录、房源记录。保障性租赁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住房出租人与承租人签订租赁合同后应及时在新余市住房租赁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监管服务平台办理租赁合同记录。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管委会，市住房城乡建设局〕</w:t>
      </w:r>
    </w:p>
    <w:p>
      <w:pPr>
        <w:framePr w:w="1402" w:wrap="around" w:vAnchor="margin" w:hAnchor="text" w:x="9451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7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3.</w:t>
      </w:r>
      <w:r>
        <w:rPr>
          <w:rFonts w:ascii="仿宋" w:hAnsi="仿宋" w:cs="仿宋"/>
          <w:color w:val="000000"/>
          <w:spacing w:val="0"/>
          <w:sz w:val="32"/>
        </w:rPr>
        <w:t>准入退出。保障性租赁住房出租方案由产权单位或运营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单位确定，并接受所在县区住建部门的监管。保障性租赁住房由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申请人或申请人所在单位统一向项目产权单位或运营单位申请。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承租人在项目所在辖区内持有自有住房后应退出保障性租赁住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房。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〔责任单位：县（区）政府、管委会，市住房城乡建设局〕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4.</w:t>
      </w:r>
      <w:r>
        <w:rPr>
          <w:rFonts w:ascii="仿宋" w:hAnsi="仿宋" w:cs="仿宋"/>
          <w:color w:val="000000"/>
          <w:spacing w:val="0"/>
          <w:sz w:val="32"/>
        </w:rPr>
        <w:t>运营监管。保障性租赁住房不得转租转借和改变租住用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途，不得用于酒店、宾馆、旅馆及民宿等特种行业，不得上市销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售或变相销售。严禁以保障性租赁住房为名违规经营或骗取优惠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政策，严禁以保障性租赁住房名义变相福利分房。涉及整体转让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的，转让后使用性质、土地用途和土地取得方式不变，转让后应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向县区行业主管部门报备。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</w:t>
      </w:r>
    </w:p>
    <w:p>
      <w:pPr>
        <w:framePr w:w="10460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市住房城乡建设局〕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5.</w:t>
      </w:r>
      <w:r>
        <w:rPr>
          <w:rFonts w:ascii="仿宋" w:hAnsi="仿宋" w:cs="仿宋"/>
          <w:color w:val="000000"/>
          <w:spacing w:val="0"/>
          <w:sz w:val="32"/>
        </w:rPr>
        <w:t>消防安全管理。保障性租赁住房的运营主体要落实消防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安全责任制，配备符合规定的消防设施、器材，保持疏散通道、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安全出口、消防车通道畅通，定期开展消防安全检查。</w:t>
      </w:r>
      <w:r>
        <w:rPr>
          <w:rFonts w:ascii="华文楷体" w:hAnsi="华文楷体" w:cs="华文楷体"/>
          <w:color w:val="000000"/>
          <w:spacing w:val="0"/>
          <w:sz w:val="32"/>
        </w:rPr>
        <w:t>〔责任单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位：县（区）政府、管委会，市住房城乡建设局、市应急管理局〕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62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6.</w:t>
      </w:r>
      <w:r>
        <w:rPr>
          <w:rFonts w:ascii="仿宋" w:hAnsi="仿宋" w:cs="仿宋"/>
          <w:color w:val="000000"/>
          <w:spacing w:val="0"/>
          <w:sz w:val="32"/>
        </w:rPr>
        <w:t>培育市场。支持专业化、规模化住房租赁企业建设和运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营管理保障性租赁住房，鼓励房地产开发企业、经纪机构、物业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服务企业设立子公司拓展住房租赁业务，提高住房租赁企业规模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化、集约化、专业化水平。支持国有企业参与保障性租赁住房业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务，发挥国有企业的引领和带动作用，对开展保障性租赁住房业</w:t>
      </w:r>
    </w:p>
    <w:p>
      <w:pPr>
        <w:framePr w:w="10355" w:wrap="around" w:vAnchor="margin" w:hAnchor="text" w:x="1586" w:y="896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务的国有企业，按照公益类国有企业进行经营业绩考核。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</w:t>
      </w:r>
    </w:p>
    <w:p>
      <w:pPr>
        <w:framePr w:w="1402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8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9" o:spid="_x0000_s1035" o:spt="75" type="#_x0000_t75" style="position:absolute;left:0pt;margin-left:475.6pt;margin-top:697.95pt;height:22.05pt;width:14.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9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303" w:wrap="around" w:vAnchor="margin" w:hAnchor="text" w:x="1586" w:y="2252"/>
        <w:widowControl w:val="0"/>
        <w:autoSpaceDE w:val="0"/>
        <w:autoSpaceDN w:val="0"/>
        <w:spacing w:before="0" w:after="0" w:line="35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单位：县（区）政府、管委会，市住房城乡建设局、市国资委、</w:t>
      </w:r>
    </w:p>
    <w:p>
      <w:pPr>
        <w:framePr w:w="10303" w:wrap="around" w:vAnchor="margin" w:hAnchor="text" w:x="1586" w:y="2252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市市场监督管理局、市投控集团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2400" w:wrap="around" w:vAnchor="margin" w:hAnchor="text" w:x="2227" w:y="3373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四、支持政策</w:t>
      </w:r>
    </w:p>
    <w:p>
      <w:pPr>
        <w:framePr w:w="3371" w:wrap="around" w:vAnchor="margin" w:hAnchor="text" w:x="2227" w:y="3934"/>
        <w:widowControl w:val="0"/>
        <w:autoSpaceDE w:val="0"/>
        <w:autoSpaceDN w:val="0"/>
        <w:spacing w:before="0" w:after="0" w:line="35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（一）土地支持政策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1.</w:t>
      </w:r>
      <w:r>
        <w:rPr>
          <w:rFonts w:ascii="仿宋" w:hAnsi="仿宋" w:cs="仿宋"/>
          <w:color w:val="000000"/>
          <w:spacing w:val="0"/>
          <w:sz w:val="32"/>
        </w:rPr>
        <w:t>利用集体经营性建设用地。支持利用城区、靠近产业园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区或交通便利区域的集体经营性建设用地建设保障性租赁住房；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经新余市人民政府联合审批机制同意，在尊重农民集体意愿的基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础上，可利用集体经营性建设用地建设保障性租赁住房；农村集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体经济组织可通过自建或联营入股等方式建设运营保障性租赁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责任单位：县（区）政府、管委会，市自然资源局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62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2.</w:t>
      </w:r>
      <w:r>
        <w:rPr>
          <w:rFonts w:ascii="仿宋" w:hAnsi="仿宋" w:cs="仿宋"/>
          <w:color w:val="000000"/>
          <w:spacing w:val="0"/>
          <w:sz w:val="32"/>
        </w:rPr>
        <w:t>利用机关企事业单位自有闲置土地。经新余市人民政府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联合审批机制同意，对机关企事业单位依法取得使用权的土地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（含低效和闲置工业用地），在符合规划、权属不变、满足安全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要求、尊重群众意愿的前提下，不补缴土地价款，原划拨的土地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可继续保留划拨方式；允许土地使用权人自建或与其他市场主体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合作建设运营保障性租赁住房。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责任单位：县（区）政府、管</w:t>
      </w:r>
    </w:p>
    <w:p>
      <w:pPr>
        <w:framePr w:w="10303" w:wrap="around" w:vAnchor="margin" w:hAnchor="text" w:x="1586" w:y="44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委会，市自然资源局、市机关事务管理中心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175" w:wrap="around" w:vAnchor="margin" w:hAnchor="text" w:x="1586" w:y="11763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3.</w:t>
      </w:r>
      <w:r>
        <w:rPr>
          <w:rFonts w:ascii="仿宋" w:hAnsi="仿宋" w:cs="仿宋"/>
          <w:color w:val="000000"/>
          <w:spacing w:val="0"/>
          <w:sz w:val="32"/>
        </w:rPr>
        <w:t>利用产业园区配套用地。经新余市人民政府联合审批机</w:t>
      </w:r>
    </w:p>
    <w:p>
      <w:pPr>
        <w:framePr w:w="10175" w:wrap="around" w:vAnchor="margin" w:hAnchor="text" w:x="1586" w:y="1176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制同意，在确保安全的前提下，可将产业园区中工业项目配套建</w:t>
      </w:r>
    </w:p>
    <w:p>
      <w:pPr>
        <w:framePr w:w="10175" w:wrap="around" w:vAnchor="margin" w:hAnchor="text" w:x="1586" w:y="1176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设行政办公及生活服务设施的用地面积占项目总用地面积的比</w:t>
      </w:r>
    </w:p>
    <w:p>
      <w:pPr>
        <w:framePr w:w="10175" w:wrap="around" w:vAnchor="margin" w:hAnchor="text" w:x="1586" w:y="11763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例上限由 </w:t>
      </w:r>
      <w:r>
        <w:rPr>
          <w:rFonts w:ascii="NBLHBW+TimesNewRomanPSMT"/>
          <w:color w:val="000000"/>
          <w:spacing w:val="0"/>
          <w:sz w:val="32"/>
        </w:rPr>
        <w:t>7%</w:t>
      </w:r>
      <w:r>
        <w:rPr>
          <w:rFonts w:ascii="仿宋" w:hAnsi="仿宋" w:cs="仿宋"/>
          <w:color w:val="000000"/>
          <w:spacing w:val="0"/>
          <w:sz w:val="32"/>
        </w:rPr>
        <w:t xml:space="preserve">提高到 </w:t>
      </w:r>
      <w:r>
        <w:rPr>
          <w:rFonts w:ascii="NBLHBW+TimesNewRomanPSMT"/>
          <w:color w:val="000000"/>
          <w:spacing w:val="0"/>
          <w:sz w:val="32"/>
        </w:rPr>
        <w:t>15%</w:t>
      </w:r>
      <w:r>
        <w:rPr>
          <w:rFonts w:ascii="仿宋" w:hAnsi="仿宋" w:cs="仿宋"/>
          <w:color w:val="000000"/>
          <w:spacing w:val="0"/>
          <w:sz w:val="32"/>
        </w:rPr>
        <w:t>，建筑面积占比上限相应提高，提高部</w:t>
      </w:r>
    </w:p>
    <w:p>
      <w:pPr>
        <w:framePr w:w="10175" w:wrap="around" w:vAnchor="margin" w:hAnchor="text" w:x="1586" w:y="1176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分主要用于建设宿舍型保障性租赁住房，严禁建设成套商品住</w:t>
      </w:r>
    </w:p>
    <w:p>
      <w:pPr>
        <w:framePr w:w="1402" w:wrap="around" w:vAnchor="margin" w:hAnchor="text" w:x="9451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9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10" o:spid="_x0000_s1036" o:spt="75" type="#_x0000_t75" style="position:absolute;left:0pt;margin-left:303.35pt;margin-top:137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1" o:spid="_x0000_s1037" o:spt="75" type="#_x0000_t75" style="position:absolute;left:0pt;margin-left:127.35pt;margin-top:361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2" o:spid="_x0000_s1038" o:spt="75" type="#_x0000_t75" style="position:absolute;left:0pt;margin-left:495.35pt;margin-top:361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3" o:spid="_x0000_s1039" o:spt="75" type="#_x0000_t75" style="position:absolute;left:0pt;margin-left:302.5pt;margin-top:529.95pt;height:22.05pt;width:15.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pict>
          <v:shape id="_x000014" o:spid="_x0000_s1040" o:spt="75" type="#_x0000_t75" style="position:absolute;left:0pt;margin-left:383.35pt;margin-top:557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669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宅，鼓励将产业园区中各工业项目的配套比例对应的用地面积或</w:t>
      </w:r>
    </w:p>
    <w:p>
      <w:pPr>
        <w:framePr w:w="10669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建筑面积集中起来统一建设宿舍型保障性租赁住房。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</w:t>
      </w:r>
    </w:p>
    <w:p>
      <w:pPr>
        <w:framePr w:w="10669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县（区）政府、管委会，市自然资源局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4.</w:t>
      </w:r>
      <w:r>
        <w:rPr>
          <w:rFonts w:ascii="仿宋" w:hAnsi="仿宋" w:cs="仿宋"/>
          <w:color w:val="000000"/>
          <w:spacing w:val="0"/>
          <w:sz w:val="32"/>
        </w:rPr>
        <w:t>利用存量闲置房屋。经新余市人民政府联合审批机制同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意，在符合规划原则、权属不变、满足安全要求，尊重群众意愿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的前提下，支持将闲置和低效利用的商业办公、旅馆、厂房、仓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储、科研教育等非居住存量房屋改建为保障性租赁住房。用作保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障性租赁住房期间，不变更土地使用性质、不补缴土地价款。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任单位：县（区）政府、管委会，市自然资源局、市机关事务管</w:t>
      </w:r>
    </w:p>
    <w:p>
      <w:pPr>
        <w:framePr w:w="10413" w:wrap="around" w:vAnchor="margin" w:hAnchor="text" w:x="1586" w:y="392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理中心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5.</w:t>
      </w:r>
      <w:r>
        <w:rPr>
          <w:rFonts w:ascii="仿宋" w:hAnsi="仿宋" w:cs="仿宋"/>
          <w:color w:val="000000"/>
          <w:spacing w:val="0"/>
          <w:sz w:val="32"/>
        </w:rPr>
        <w:t>利用新供应国有建设用地。按照职住平衡原则，提高住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宅用地中保障性租赁住房用地供应比例，在编制年度住宅用地供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应计划时，单列租赁住房用地计划、优先安排、应保尽保。保障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性租赁住房用地可采取出让、租赁或划拨等方式供应，其中以出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让或租赁方式供应的，可将保障性租赁住房租赁价格及调整方式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作为出让或租赁的前置条件，允许出让价款分期收取，并在出让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合同中具体约定，在约定期限内可不收取第二期及以后各期土地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出让价款相应的利息。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责任单位：县（区）政府、管委会，市</w:t>
      </w:r>
    </w:p>
    <w:p>
      <w:pPr>
        <w:framePr w:w="10211" w:wrap="around" w:vAnchor="margin" w:hAnchor="text" w:x="1586" w:y="784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自然资源局、市税务局、市机关事务管理中心〕</w:t>
      </w:r>
    </w:p>
    <w:p>
      <w:pPr>
        <w:framePr w:w="3371" w:wrap="around" w:vAnchor="margin" w:hAnchor="text" w:x="2227" w:y="12894"/>
        <w:widowControl w:val="0"/>
        <w:autoSpaceDE w:val="0"/>
        <w:autoSpaceDN w:val="0"/>
        <w:spacing w:before="0" w:after="0" w:line="35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（二）资金支持政策</w:t>
      </w:r>
    </w:p>
    <w:p>
      <w:pPr>
        <w:framePr w:w="10175" w:wrap="around" w:vAnchor="margin" w:hAnchor="text" w:x="1586" w:y="13443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1.</w:t>
      </w:r>
      <w:r>
        <w:rPr>
          <w:rFonts w:ascii="仿宋" w:hAnsi="仿宋" w:cs="仿宋"/>
          <w:color w:val="000000"/>
          <w:spacing w:val="0"/>
          <w:sz w:val="32"/>
        </w:rPr>
        <w:t xml:space="preserve">降低税费负担。自   </w:t>
      </w:r>
      <w:r>
        <w:rPr>
          <w:rFonts w:ascii="NBLHBW+TimesNewRomanPSMT"/>
          <w:color w:val="000000"/>
          <w:spacing w:val="0"/>
          <w:sz w:val="32"/>
        </w:rPr>
        <w:t>2021</w:t>
      </w:r>
      <w:r>
        <w:rPr>
          <w:rFonts w:ascii="仿宋" w:hAnsi="仿宋" w:cs="仿宋"/>
          <w:color w:val="000000"/>
          <w:spacing w:val="0"/>
          <w:sz w:val="32"/>
        </w:rPr>
        <w:t xml:space="preserve">年  </w:t>
      </w:r>
      <w:r>
        <w:rPr>
          <w:rFonts w:ascii="NBLHBW+TimesNewRomanPSMT"/>
          <w:color w:val="000000"/>
          <w:spacing w:val="0"/>
          <w:sz w:val="32"/>
        </w:rPr>
        <w:t>10</w:t>
      </w:r>
      <w:r>
        <w:rPr>
          <w:rFonts w:ascii="仿宋" w:hAnsi="仿宋" w:cs="仿宋"/>
          <w:color w:val="000000"/>
          <w:spacing w:val="0"/>
          <w:sz w:val="32"/>
        </w:rPr>
        <w:t xml:space="preserve">月  </w:t>
      </w:r>
      <w:r>
        <w:rPr>
          <w:rFonts w:ascii="NBLHBW+TimesNewRomanPSMT"/>
          <w:color w:val="000000"/>
          <w:spacing w:val="0"/>
          <w:sz w:val="32"/>
        </w:rPr>
        <w:t>1</w:t>
      </w:r>
      <w:r>
        <w:rPr>
          <w:rFonts w:ascii="仿宋" w:hAnsi="仿宋" w:cs="仿宋"/>
          <w:color w:val="000000"/>
          <w:spacing w:val="0"/>
          <w:sz w:val="32"/>
        </w:rPr>
        <w:t>日起，住房租赁企业</w:t>
      </w:r>
    </w:p>
    <w:p>
      <w:pPr>
        <w:framePr w:w="10175" w:wrap="around" w:vAnchor="margin" w:hAnchor="text" w:x="1586" w:y="1344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中的增值税一般纳税人向个人出租保障性租赁住房取得的全部</w:t>
      </w:r>
    </w:p>
    <w:p>
      <w:pPr>
        <w:framePr w:w="1541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10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15" o:spid="_x0000_s1041" o:spt="75" type="#_x0000_t75" style="position:absolute;left:0pt;margin-left:440.5pt;margin-top:137.95pt;height:22.05pt;width:9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1" o:title=""/>
            <o:lock v:ext="edit" aspectratio="t"/>
          </v:shape>
        </w:pict>
      </w:r>
      <w:r>
        <w:pict>
          <v:shape id="_x000016" o:spid="_x0000_s1042" o:spt="75" type="#_x0000_t75" style="position:absolute;left:0pt;margin-left:351.35pt;margin-top:165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7" o:spid="_x0000_s1043" o:spt="75" type="#_x0000_t75" style="position:absolute;left:0pt;margin-left:494.55pt;margin-top:305.95pt;height:22.05pt;width:11.1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2" o:title=""/>
            <o:lock v:ext="edit" aspectratio="t"/>
          </v:shape>
        </w:pict>
      </w:r>
      <w:r>
        <w:pict>
          <v:shape id="_x000018" o:spid="_x0000_s1044" o:spt="75" type="#_x0000_t75" style="position:absolute;left:0pt;margin-left:127.35pt;margin-top:361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19" o:spid="_x0000_s1045" o:spt="75" type="#_x0000_t75" style="position:absolute;left:0pt;margin-left:238.6pt;margin-top:585.95pt;height:22.05pt;width:15.1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353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出租收入，可以选择适用简易计税方法，按照 </w:t>
      </w:r>
      <w:r>
        <w:rPr>
          <w:rFonts w:ascii="NBLHBW+TimesNewRomanPSMT"/>
          <w:color w:val="000000"/>
          <w:spacing w:val="0"/>
          <w:sz w:val="32"/>
        </w:rPr>
        <w:t>5%</w:t>
      </w:r>
      <w:r>
        <w:rPr>
          <w:rFonts w:ascii="仿宋" w:hAnsi="仿宋" w:cs="仿宋"/>
          <w:color w:val="000000"/>
          <w:spacing w:val="0"/>
          <w:sz w:val="32"/>
        </w:rPr>
        <w:t>的征收率减按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NBLHBW+TimesNewRomanPSMT"/>
          <w:color w:val="000000"/>
          <w:spacing w:val="0"/>
          <w:sz w:val="32"/>
        </w:rPr>
        <w:t>1.5%</w:t>
      </w:r>
      <w:r>
        <w:rPr>
          <w:rFonts w:ascii="仿宋" w:hAnsi="仿宋" w:cs="仿宋"/>
          <w:color w:val="000000"/>
          <w:spacing w:val="0"/>
          <w:sz w:val="32"/>
        </w:rPr>
        <w:t>计算缴纳增值税，或适用一般计税方法计算缴纳增值税。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住房租赁企业中的增值税小规模纳税人向个人出租保障性租赁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住房，按照 </w:t>
      </w:r>
      <w:r>
        <w:rPr>
          <w:rFonts w:ascii="NBLHBW+TimesNewRomanPSMT"/>
          <w:color w:val="000000"/>
          <w:spacing w:val="0"/>
          <w:sz w:val="32"/>
        </w:rPr>
        <w:t>5%</w:t>
      </w:r>
      <w:r>
        <w:rPr>
          <w:rFonts w:ascii="仿宋" w:hAnsi="仿宋" w:cs="仿宋"/>
          <w:color w:val="000000"/>
          <w:spacing w:val="0"/>
          <w:sz w:val="32"/>
        </w:rPr>
        <w:t xml:space="preserve">的征收率减按  </w:t>
      </w:r>
      <w:r>
        <w:rPr>
          <w:rFonts w:ascii="NBLHBW+TimesNewRomanPSMT"/>
          <w:color w:val="000000"/>
          <w:spacing w:val="0"/>
          <w:sz w:val="32"/>
        </w:rPr>
        <w:t>1.5%</w:t>
      </w:r>
      <w:r>
        <w:rPr>
          <w:rFonts w:ascii="仿宋" w:hAnsi="仿宋" w:cs="仿宋"/>
          <w:color w:val="000000"/>
          <w:spacing w:val="0"/>
          <w:sz w:val="32"/>
        </w:rPr>
        <w:t>计算缴纳增值税。住房租赁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企业向个人出租保障性租赁住房适用简易计税方法并进行预缴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的，减按 </w:t>
      </w:r>
      <w:r>
        <w:rPr>
          <w:rFonts w:ascii="NBLHBW+TimesNewRomanPSMT"/>
          <w:color w:val="000000"/>
          <w:spacing w:val="0"/>
          <w:sz w:val="32"/>
        </w:rPr>
        <w:t>1.5%</w:t>
      </w:r>
      <w:r>
        <w:rPr>
          <w:rFonts w:ascii="仿宋" w:hAnsi="仿宋" w:cs="仿宋"/>
          <w:color w:val="000000"/>
          <w:spacing w:val="0"/>
          <w:sz w:val="32"/>
        </w:rPr>
        <w:t>预征率预缴增值税。对企事业单位、社会团体以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及其他组织向个人、专业化规模化住房租赁企业出租保障性租赁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 xml:space="preserve">住房的，减按 </w:t>
      </w:r>
      <w:r>
        <w:rPr>
          <w:rFonts w:ascii="NBLHBW+TimesNewRomanPSMT"/>
          <w:color w:val="000000"/>
          <w:spacing w:val="0"/>
          <w:sz w:val="32"/>
        </w:rPr>
        <w:t>4%</w:t>
      </w:r>
      <w:r>
        <w:rPr>
          <w:rFonts w:ascii="仿宋" w:hAnsi="仿宋" w:cs="仿宋"/>
          <w:color w:val="000000"/>
          <w:spacing w:val="0"/>
          <w:sz w:val="32"/>
        </w:rPr>
        <w:t>的税率征收房产税。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〔责任单位：市财政局、</w:t>
      </w:r>
    </w:p>
    <w:p>
      <w:pPr>
        <w:framePr w:w="10212" w:wrap="around" w:vAnchor="margin" w:hAnchor="text" w:x="1586" w:y="224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市税务局、市发改委，县（区）政府、管委会〕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2.</w:t>
      </w:r>
      <w:r>
        <w:rPr>
          <w:rFonts w:ascii="仿宋" w:hAnsi="仿宋" w:cs="仿宋"/>
          <w:color w:val="000000"/>
          <w:spacing w:val="0"/>
          <w:sz w:val="32"/>
        </w:rPr>
        <w:t>加大财政资金保障。积极争取中央补助资金、省级财政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补助资金对符合条件的保障性租赁住房建设任务支持，严格按照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保障性安居工程补助资金管理办法规定使用资金，严禁挪作他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用，不得从补助资金中提取工作经费或管理经费。统筹利用土地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出让净收益和住房公积金增值收益等现有住房保障资金发展保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障性租赁住房。</w:t>
      </w:r>
      <w:r>
        <w:rPr>
          <w:rFonts w:ascii="华文楷体" w:hAnsi="华文楷体" w:cs="华文楷体"/>
          <w:color w:val="000000"/>
          <w:spacing w:val="0"/>
          <w:sz w:val="32"/>
        </w:rPr>
        <w:t>〔责任单位：县（区）政府、管委会，市财政局、</w:t>
      </w:r>
    </w:p>
    <w:p>
      <w:pPr>
        <w:framePr w:w="10451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市发改委、市住房城乡建设局〕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HVGNMP+TimesNewRomanPS-BoldMT"/>
          <w:b/>
          <w:color w:val="000000"/>
          <w:spacing w:val="0"/>
          <w:sz w:val="32"/>
        </w:rPr>
        <w:t>3.</w:t>
      </w:r>
      <w:r>
        <w:rPr>
          <w:rFonts w:ascii="仿宋" w:hAnsi="仿宋" w:cs="仿宋"/>
          <w:color w:val="000000"/>
          <w:spacing w:val="0"/>
          <w:sz w:val="32"/>
        </w:rPr>
        <w:t>加强金融支持。加大对保障性租赁住房建设运营的信贷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支持力度，支持银行业金融机构以市场化方式向保障性租赁住房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自持主体提供长期贷款；按照依法依规、风险可控、商业可持续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原则向改建、改造存量房屋形成非自有产权保障性租赁住房的住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房租赁企业提供贷款。完善与保障性租赁住房相适应的贷款统</w:t>
      </w:r>
    </w:p>
    <w:p>
      <w:pPr>
        <w:framePr w:w="10176" w:wrap="around" w:vAnchor="margin" w:hAnchor="text" w:x="1586" w:y="1120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计，保障性租赁住房有关贷款暂不纳入房地产贷款占比计算。支</w:t>
      </w:r>
    </w:p>
    <w:p>
      <w:pPr>
        <w:framePr w:w="1541" w:wrap="around" w:vAnchor="margin" w:hAnchor="text" w:x="9312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11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持银行业金融机构发行金融债券，募集资金用于保障性租赁住房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贷款投放。支持企业发行企业债券、公司债券、非金融企业债务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融资工具等公司信用类债券，用于保障性租赁住房建设运营。支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持具有持续稳定现金流的保障性租赁住房企业将物业抵押作为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信用增信，发行住房租赁担保债券。支持商业保险资金按照市场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化原则参与保障性租赁住房建设。鼓励保障性租赁住房项目申报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基础设施领域不动产投资信托基金和房地产投资信托基金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（</w:t>
      </w:r>
      <w:r>
        <w:rPr>
          <w:rFonts w:ascii="NBLHBW+TimesNewRomanPSMT"/>
          <w:color w:val="000000"/>
          <w:spacing w:val="0"/>
          <w:sz w:val="32"/>
        </w:rPr>
        <w:t>REITs</w:t>
      </w:r>
      <w:r>
        <w:rPr>
          <w:rFonts w:ascii="仿宋" w:hAnsi="仿宋" w:cs="仿宋"/>
          <w:color w:val="000000"/>
          <w:spacing w:val="0"/>
          <w:sz w:val="32"/>
        </w:rPr>
        <w:t>）试点。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责任单位：人行新余中心支行、新余银保监</w:t>
      </w:r>
    </w:p>
    <w:p>
      <w:pPr>
        <w:framePr w:w="10184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分局、市发改委、市金融办、建设银行新余分行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0"/>
        </w:rPr>
      </w:pPr>
      <w:r>
        <w:rPr>
          <w:rFonts w:ascii="HVGNMP+TimesNewRomanPS-BoldMT"/>
          <w:b/>
          <w:color w:val="000000"/>
          <w:spacing w:val="0"/>
          <w:sz w:val="32"/>
        </w:rPr>
        <w:t>4.</w:t>
      </w:r>
      <w:r>
        <w:rPr>
          <w:rFonts w:ascii="仿宋" w:hAnsi="仿宋" w:cs="仿宋"/>
          <w:color w:val="000000"/>
          <w:spacing w:val="0"/>
          <w:sz w:val="32"/>
        </w:rPr>
        <w:t>降低运营成本。</w:t>
      </w:r>
      <w:r>
        <w:rPr>
          <w:rFonts w:ascii="仿宋" w:hAnsi="仿宋" w:cs="仿宋"/>
          <w:color w:val="000000"/>
          <w:spacing w:val="0"/>
          <w:sz w:val="30"/>
        </w:rPr>
        <w:t>对保障性租赁住房项目免收城市基础设施配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0"/>
        </w:rPr>
      </w:pPr>
      <w:r>
        <w:rPr>
          <w:rFonts w:ascii="仿宋" w:hAnsi="仿宋" w:cs="仿宋"/>
          <w:color w:val="000000"/>
          <w:spacing w:val="0"/>
          <w:sz w:val="30"/>
        </w:rPr>
        <w:t>套费。用水、用电、用气价格按照居民标准执行，存在混合性质情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0"/>
        </w:rPr>
      </w:pPr>
      <w:r>
        <w:rPr>
          <w:rFonts w:ascii="仿宋" w:hAnsi="仿宋" w:cs="仿宋"/>
          <w:color w:val="000000"/>
          <w:spacing w:val="0"/>
          <w:sz w:val="30"/>
        </w:rPr>
        <w:t>况的，应分表计量，未分表计量的，由供用双方协商混合用量比例，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0"/>
        </w:rPr>
        <w:t>执行分类价格。</w:t>
      </w:r>
      <w:r>
        <w:rPr>
          <w:rFonts w:ascii="仿宋" w:hAnsi="仿宋" w:cs="仿宋"/>
          <w:color w:val="000000"/>
          <w:spacing w:val="0"/>
          <w:sz w:val="32"/>
        </w:rPr>
        <w:t>对于新建类集中式保障性租赁住房项目，在其物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业区域内与其他物业存在共有部位、共有设施设备的，项目单位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应当承担缴存物业专项维修资金的责任，保障性租赁住房项目属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于一个业主所有且与其他物业不具有共有部位、共有设施设备的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可予免交物业专项维修资金。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责任单位：县（区）政府、管委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会，市发改委、市财政局、市住房城乡建设局、市水利局、市城</w:t>
      </w:r>
    </w:p>
    <w:p>
      <w:pPr>
        <w:framePr w:w="10347" w:wrap="around" w:vAnchor="margin" w:hAnchor="text" w:x="1586" w:y="7284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管局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2400" w:wrap="around" w:vAnchor="margin" w:hAnchor="text" w:x="2227" w:y="12894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五、组织实施</w:t>
      </w:r>
    </w:p>
    <w:p>
      <w:pPr>
        <w:framePr w:w="10176" w:wrap="around" w:vAnchor="margin" w:hAnchor="text" w:x="1586" w:y="13453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（一）落实主体责任。</w:t>
      </w:r>
      <w:r>
        <w:rPr>
          <w:rFonts w:ascii="仿宋" w:hAnsi="仿宋" w:cs="仿宋"/>
          <w:color w:val="000000"/>
          <w:spacing w:val="0"/>
          <w:sz w:val="32"/>
        </w:rPr>
        <w:t>成立由市政府主要领导牵头的保障性</w:t>
      </w:r>
    </w:p>
    <w:p>
      <w:pPr>
        <w:framePr w:w="10176" w:wrap="around" w:vAnchor="margin" w:hAnchor="text" w:x="1586" w:y="13453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租赁住房工作领导小组，统筹协调推进全市保障性租赁住房相关</w:t>
      </w:r>
    </w:p>
    <w:p>
      <w:pPr>
        <w:framePr w:w="1541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12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20" o:spid="_x0000_s1046" o:spt="75" type="#_x0000_t75" style="position:absolute;left:0pt;margin-left:202.6pt;margin-top:305.95pt;height:22.05pt;width:15.7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21" o:spid="_x0000_s1047" o:spt="75" type="#_x0000_t75" style="position:absolute;left:0pt;margin-left:415.35pt;margin-top:333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22" o:spid="_x0000_s1048" o:spt="75" type="#_x0000_t75" style="position:absolute;left:0pt;margin-left:286.5pt;margin-top:557.95pt;height:22.05pt;width:15.0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0" o:title=""/>
            <o:lock v:ext="edit" aspectratio="t"/>
          </v:shape>
        </w:pict>
      </w:r>
      <w:r>
        <w:pict>
          <v:shape id="_x000023" o:spid="_x0000_s1049" o:spt="75" type="#_x0000_t75" style="position:absolute;left:0pt;margin-left:111.35pt;margin-top:613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3" o:title=""/>
            <o:lock v:ext="edit" aspectratio="t"/>
          </v:shape>
        </w:pict>
      </w:r>
      <w:r>
        <w:pict>
          <v:shape id="_x000024" o:spid="_x0000_s1050" o:spt="75" type="#_x0000_t75" style="position:absolute;left:0pt;margin-left:111.35pt;margin-top:642.25pt;height:20.75pt;width:9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4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工作。领导小组下设办公室，由市住房城乡建设局负责办公室日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常工作，主要负责指导、协调和检查考核全市保障性租赁住房工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作。各级人民政府是保障性租赁住房工作的责任主体，县区住建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部门要积极做好辖区内保障性租赁住房筹集、配租、监督管理等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工作，实现可持续运营。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责任单位：县（区）政府、管委会，</w:t>
      </w:r>
    </w:p>
    <w:p>
      <w:pPr>
        <w:framePr w:w="10303" w:wrap="around" w:vAnchor="margin" w:hAnchor="text" w:x="1586" w:y="2255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市住房城乡建设局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357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（二）强化部门联动。</w:t>
      </w:r>
      <w:r>
        <w:rPr>
          <w:rFonts w:ascii="仿宋" w:hAnsi="仿宋" w:cs="仿宋"/>
          <w:color w:val="000000"/>
          <w:spacing w:val="0"/>
          <w:sz w:val="32"/>
        </w:rPr>
        <w:t>市住房城乡建设局要加强对发展保障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性租赁住房工作的组织协调和督促指导，市发改委、市财政局、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市自然资源局、人行新余支行、市税务局、市金融办、市银保监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分局等单位要强化业务指导、调研督促。各地各有关单位要按职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责分工，加强协作形成合力，涉及提供土地、资金政策支持的相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关单位要出台具体配套文件，确保各项政策落实到位。</w:t>
      </w:r>
      <w:r>
        <w:rPr>
          <w:rFonts w:ascii="华文楷体" w:hAnsi="华文楷体" w:cs="华文楷体"/>
          <w:color w:val="000000"/>
          <w:spacing w:val="0"/>
          <w:sz w:val="32"/>
        </w:rPr>
        <w:t>〔责任单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位：县（区）政府、管委会，市直有关部门，驻市相关单位〕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62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（三）实行监测评价。</w:t>
      </w:r>
      <w:r>
        <w:rPr>
          <w:rFonts w:ascii="仿宋" w:hAnsi="仿宋" w:cs="仿宋"/>
          <w:color w:val="000000"/>
          <w:spacing w:val="0"/>
          <w:sz w:val="32"/>
        </w:rPr>
        <w:t>将保障性租赁住房纳入保障性安居工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程进行管理，建立保障性租赁住房监测评价机制。市住房城乡建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62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设局会同市直有关部门具体实施，及时通报监测评价情况，评价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结果纳入年度高质量发展考核，</w:t>
      </w:r>
      <w:r>
        <w:rPr>
          <w:rFonts w:ascii="IWRVBP+FZFSJW--GB1-0" w:hAnsi="IWRVBP+FZFSJW--GB1-0" w:cs="IWRVBP+FZFSJW--GB1-0"/>
          <w:color w:val="000000"/>
          <w:spacing w:val="0"/>
          <w:sz w:val="32"/>
        </w:rPr>
        <w:t>对成效突出的地方实施激励</w:t>
      </w:r>
      <w:r>
        <w:rPr>
          <w:rFonts w:ascii="仿宋" w:hAnsi="仿宋" w:cs="仿宋"/>
          <w:color w:val="000000"/>
          <w:spacing w:val="0"/>
          <w:sz w:val="32"/>
        </w:rPr>
        <w:t>。</w:t>
      </w:r>
      <w:r>
        <w:rPr>
          <w:rFonts w:ascii="黑体" w:hAnsi="黑体" w:cs="黑体"/>
          <w:color w:val="000000"/>
          <w:spacing w:val="0"/>
          <w:sz w:val="32"/>
        </w:rPr>
        <w:t>〔</w:t>
      </w:r>
      <w:r>
        <w:rPr>
          <w:rFonts w:ascii="华文楷体" w:hAnsi="华文楷体" w:cs="华文楷体"/>
          <w:color w:val="000000"/>
          <w:spacing w:val="0"/>
          <w:sz w:val="32"/>
        </w:rPr>
        <w:t>责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任单位：市住房城乡建设局、市发改委、市财政局、市自然资源</w:t>
      </w:r>
    </w:p>
    <w:p>
      <w:pPr>
        <w:framePr w:w="10303" w:wrap="around" w:vAnchor="margin" w:hAnchor="text" w:x="1586" w:y="5612"/>
        <w:widowControl w:val="0"/>
        <w:autoSpaceDE w:val="0"/>
        <w:autoSpaceDN w:val="0"/>
        <w:spacing w:before="0" w:after="0" w:line="55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华文楷体" w:hAnsi="华文楷体" w:cs="华文楷体"/>
          <w:color w:val="000000"/>
          <w:spacing w:val="0"/>
          <w:sz w:val="32"/>
        </w:rPr>
        <w:t>局、市统计局、市机关事务管理中心、市人力资源社会保障局</w:t>
      </w:r>
      <w:r>
        <w:rPr>
          <w:rFonts w:ascii="黑体" w:hAnsi="黑体" w:cs="黑体"/>
          <w:color w:val="000000"/>
          <w:spacing w:val="0"/>
          <w:sz w:val="32"/>
        </w:rPr>
        <w:t>〕</w:t>
      </w:r>
    </w:p>
    <w:p>
      <w:pPr>
        <w:framePr w:w="4045" w:wrap="around" w:vAnchor="margin" w:hAnchor="text" w:x="2227" w:y="13453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附件：有关单位工作职责</w:t>
      </w:r>
    </w:p>
    <w:p>
      <w:pPr>
        <w:framePr w:w="1541" w:wrap="around" w:vAnchor="margin" w:hAnchor="text" w:x="9312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13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pict>
          <v:shape id="_x000025" o:spid="_x0000_s1051" o:spt="75" type="#_x0000_t75" style="position:absolute;left:0pt;margin-left:255.35pt;margin-top:221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26" o:spid="_x0000_s1052" o:spt="75" type="#_x0000_t75" style="position:absolute;left:0pt;margin-left:207.35pt;margin-top:249.95pt;height:22.05pt;width:16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5" o:title=""/>
            <o:lock v:ext="edit" aspectratio="t"/>
          </v:shape>
        </w:pict>
      </w:r>
      <w:r>
        <w:pict>
          <v:shape id="_x000027" o:spid="_x0000_s1053" o:spt="75" type="#_x0000_t75" style="position:absolute;left:0pt;margin-left:496.7pt;margin-top:557.95pt;height:22.05pt;width:8.9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5" o:title=""/>
            <o:lock v:ext="edit" aspectratio="t"/>
          </v:shape>
        </w:pict>
      </w:r>
      <w:r>
        <w:pict>
          <v:shape id="_x000028" o:spid="_x0000_s1054" o:spt="75" type="#_x0000_t75" style="position:absolute;left:0pt;margin-left:511.35pt;margin-top:613.95pt;height:22.05pt;width:10.25pt;mso-position-horizontal-relative:page;mso-position-vertical-relative:page;z-index:-251657216;mso-width-relative:page;mso-height-relative:page;" filled="f" coordsize="21600,21600">
            <v:path/>
            <v:fill on="f" focussize="0,0"/>
            <v:stroke/>
            <v:imagedata r:id="rId16" o:title=""/>
            <o:lock v:ext="edit" aspectratio="t"/>
          </v:shape>
        </w:pict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118" w:wrap="around" w:vAnchor="margin" w:hAnchor="text" w:x="1586" w:y="2269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黑体" w:hAnsi="黑体" w:cs="黑体"/>
          <w:color w:val="000000"/>
          <w:spacing w:val="0"/>
          <w:sz w:val="32"/>
        </w:rPr>
      </w:pPr>
      <w:r>
        <w:rPr>
          <w:rFonts w:ascii="黑体" w:hAnsi="黑体" w:cs="黑体"/>
          <w:color w:val="000000"/>
          <w:spacing w:val="0"/>
          <w:sz w:val="32"/>
        </w:rPr>
        <w:t>附件</w:t>
      </w:r>
    </w:p>
    <w:p>
      <w:pPr>
        <w:framePr w:w="4177" w:wrap="around" w:vAnchor="margin" w:hAnchor="text" w:x="4147" w:y="2744"/>
        <w:widowControl w:val="0"/>
        <w:autoSpaceDE w:val="0"/>
        <w:autoSpaceDN w:val="0"/>
        <w:spacing w:before="0" w:after="0" w:line="439" w:lineRule="exact"/>
        <w:ind w:left="0" w:right="0"/>
        <w:jc w:val="left"/>
        <w:rPr>
          <w:rFonts w:ascii="VCBCAL+FZXBSJW--GB1-0" w:hAnsi="VCBCAL+FZXBSJW--GB1-0" w:cs="VCBCAL+FZXBSJW--GB1-0"/>
          <w:color w:val="000000"/>
          <w:spacing w:val="0"/>
          <w:sz w:val="44"/>
        </w:rPr>
      </w:pPr>
      <w:r>
        <w:rPr>
          <w:rFonts w:ascii="VCBCAL+FZXBSJW--GB1-0" w:hAnsi="VCBCAL+FZXBSJW--GB1-0" w:cs="VCBCAL+FZXBSJW--GB1-0"/>
          <w:color w:val="000000"/>
          <w:spacing w:val="0"/>
          <w:sz w:val="44"/>
        </w:rPr>
        <w:t>有关单位工作职责</w:t>
      </w:r>
    </w:p>
    <w:p>
      <w:pPr>
        <w:framePr w:w="9441" w:wrap="around" w:vAnchor="margin" w:hAnchor="text" w:x="2227" w:y="4016"/>
        <w:widowControl w:val="0"/>
        <w:autoSpaceDE w:val="0"/>
        <w:autoSpaceDN w:val="0"/>
        <w:spacing w:before="0" w:after="0" w:line="353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市住房城乡建设局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牵头全市保障性租赁住房工作，牵头负</w:t>
      </w:r>
    </w:p>
    <w:p>
      <w:pPr>
        <w:framePr w:w="6990" w:wrap="around" w:vAnchor="margin" w:hAnchor="text" w:x="1586" w:y="4626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责政策制定、计划申报、监测评价等工作。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市发展改革委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负责争取中央预算内投资支持和资金分配管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理，牵头指导项目审批（核准、备案）、落实民用水电气价格政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策，做好专项债券和企业债券项目储备申报。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市财政局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负责争取中央财政资金支持、省级奖补资金和相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关资金分配管理，负责指导财政资金绩效评价工作。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市公安局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负责提供户籍人口数据，指导办理居住证事宜。</w:t>
      </w:r>
    </w:p>
    <w:p>
      <w:pPr>
        <w:framePr w:w="10175" w:wrap="around" w:vAnchor="margin" w:hAnchor="text" w:x="1586" w:y="52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市民政局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保障承租户享受养老基本服务。</w:t>
      </w:r>
    </w:p>
    <w:p>
      <w:pPr>
        <w:framePr w:w="10175" w:wrap="around" w:vAnchor="margin" w:hAnchor="text" w:x="1586" w:y="9416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市人力资源社会保障局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负责将发展保障性租赁住房工作纳</w:t>
      </w:r>
    </w:p>
    <w:p>
      <w:pPr>
        <w:framePr w:w="10175" w:wrap="around" w:vAnchor="margin" w:hAnchor="text" w:x="1586" w:y="94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入政府激励体系，保障承租户享受养老基本服务。</w:t>
      </w:r>
    </w:p>
    <w:p>
      <w:pPr>
        <w:framePr w:w="10175" w:wrap="around" w:vAnchor="margin" w:hAnchor="text" w:x="1586" w:y="94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市自然资源局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负责指导保障性租赁住房项目用地和规划相</w:t>
      </w:r>
    </w:p>
    <w:p>
      <w:pPr>
        <w:framePr w:w="10175" w:wrap="around" w:vAnchor="margin" w:hAnchor="text" w:x="1586" w:y="94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关政策落实。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市教育局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负责统筹市属学校相关资金用于发展保障性租赁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住房，并保障承租户享受义务教育基本服务。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市卫生健康委：负责统筹市属医院相关资金用于发展保障性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租赁住房，并保障承租户享受医疗卫生基本服务。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市国资委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负责统筹我市国有企业相关资金发展保障性租赁</w:t>
      </w:r>
    </w:p>
    <w:p>
      <w:pPr>
        <w:framePr w:w="10173" w:wrap="around" w:vAnchor="margin" w:hAnchor="text" w:x="1586" w:y="11816"/>
        <w:widowControl w:val="0"/>
        <w:autoSpaceDE w:val="0"/>
        <w:autoSpaceDN w:val="0"/>
        <w:spacing w:before="0" w:after="0" w:line="607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14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10173" w:wrap="around" w:vAnchor="margin" w:hAnchor="text" w:x="1586" w:y="2286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住房，引导市属国有企业参与保障性租赁住房业务。</w:t>
      </w:r>
    </w:p>
    <w:p>
      <w:pPr>
        <w:framePr w:w="10173" w:wrap="around" w:vAnchor="margin" w:hAnchor="text" w:x="1586" w:y="228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市市场监督管理局：为社会各类企业参与保障性租赁住房业</w:t>
      </w:r>
    </w:p>
    <w:p>
      <w:pPr>
        <w:framePr w:w="10173" w:wrap="around" w:vAnchor="margin" w:hAnchor="text" w:x="1586" w:y="22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务提供便利登记服务。</w:t>
      </w:r>
    </w:p>
    <w:p>
      <w:pPr>
        <w:framePr w:w="10173" w:wrap="around" w:vAnchor="margin" w:hAnchor="text" w:x="1586" w:y="4076"/>
        <w:widowControl w:val="0"/>
        <w:autoSpaceDE w:val="0"/>
        <w:autoSpaceDN w:val="0"/>
        <w:spacing w:before="0" w:after="0" w:line="353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市统计局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负责提供涉及保障性租赁住房规划建设管理的有</w:t>
      </w:r>
    </w:p>
    <w:p>
      <w:pPr>
        <w:framePr w:w="10173" w:wrap="around" w:vAnchor="margin" w:hAnchor="text" w:x="1586" w:y="407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关统计数据。</w:t>
      </w:r>
    </w:p>
    <w:p>
      <w:pPr>
        <w:framePr w:w="10176" w:wrap="around" w:vAnchor="margin" w:hAnchor="text" w:x="1586" w:y="52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市机关事务管理中心：统一组织市直单位发展保障性租赁住</w:t>
      </w:r>
    </w:p>
    <w:p>
      <w:pPr>
        <w:framePr w:w="10176" w:wrap="around" w:vAnchor="margin" w:hAnchor="text" w:x="1586" w:y="52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房，指导县区机关事务管理部门开展工作。</w:t>
      </w:r>
    </w:p>
    <w:p>
      <w:pPr>
        <w:framePr w:w="10176" w:wrap="around" w:vAnchor="margin" w:hAnchor="text" w:x="1586" w:y="5286"/>
        <w:widowControl w:val="0"/>
        <w:autoSpaceDE w:val="0"/>
        <w:autoSpaceDN w:val="0"/>
        <w:spacing w:before="0" w:after="0" w:line="600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市税务局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负责指导落实社会各方参与保障性租赁住房税费</w:t>
      </w:r>
    </w:p>
    <w:p>
      <w:pPr>
        <w:framePr w:w="10176" w:wrap="around" w:vAnchor="margin" w:hAnchor="text" w:x="1586" w:y="52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减免政策。</w:t>
      </w:r>
    </w:p>
    <w:p>
      <w:pPr>
        <w:framePr w:w="10172" w:wrap="around" w:vAnchor="margin" w:hAnchor="text" w:x="1586" w:y="76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市城管局：负责落实保障性租赁住房免交物业专项维修资金</w:t>
      </w:r>
    </w:p>
    <w:p>
      <w:pPr>
        <w:framePr w:w="10172" w:wrap="around" w:vAnchor="margin" w:hAnchor="text" w:x="1586" w:y="76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相关事宜。</w:t>
      </w:r>
    </w:p>
    <w:p>
      <w:pPr>
        <w:framePr w:w="10173" w:wrap="around" w:vAnchor="margin" w:hAnchor="text" w:x="1586" w:y="88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市政府金融办：负责指导金融机构为保障性租赁住房提供金</w:t>
      </w:r>
    </w:p>
    <w:p>
      <w:pPr>
        <w:framePr w:w="10173" w:wrap="around" w:vAnchor="margin" w:hAnchor="text" w:x="1586" w:y="88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融融资服务。</w:t>
      </w:r>
    </w:p>
    <w:p>
      <w:pPr>
        <w:framePr w:w="10172" w:wrap="around" w:vAnchor="margin" w:hAnchor="text" w:x="1586" w:y="100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市水利局：负责落实保障性租赁住房用水价格按照居民标准</w:t>
      </w:r>
    </w:p>
    <w:p>
      <w:pPr>
        <w:framePr w:w="10172" w:wrap="around" w:vAnchor="margin" w:hAnchor="text" w:x="1586" w:y="100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执行相关事宜。</w:t>
      </w:r>
    </w:p>
    <w:p>
      <w:pPr>
        <w:framePr w:w="10172" w:wrap="around" w:vAnchor="margin" w:hAnchor="text" w:x="1586" w:y="112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市住房公积金管理中心：负责支持承租户提取住房公积金用</w:t>
      </w:r>
    </w:p>
    <w:p>
      <w:pPr>
        <w:framePr w:w="10172" w:wrap="around" w:vAnchor="margin" w:hAnchor="text" w:x="1586" w:y="112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于支付保障性租赁住房租金。</w:t>
      </w:r>
    </w:p>
    <w:p>
      <w:pPr>
        <w:framePr w:w="10172" w:wrap="around" w:vAnchor="margin" w:hAnchor="text" w:x="1586" w:y="12486"/>
        <w:widowControl w:val="0"/>
        <w:autoSpaceDE w:val="0"/>
        <w:autoSpaceDN w:val="0"/>
        <w:spacing w:before="0" w:after="0" w:line="319" w:lineRule="exact"/>
        <w:ind w:left="641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新余银保监分局：负责引导银行保险机构做好保障性租赁住</w:t>
      </w:r>
    </w:p>
    <w:p>
      <w:pPr>
        <w:framePr w:w="10172" w:wrap="around" w:vAnchor="margin" w:hAnchor="text" w:x="1586" w:y="12486"/>
        <w:widowControl w:val="0"/>
        <w:autoSpaceDE w:val="0"/>
        <w:autoSpaceDN w:val="0"/>
        <w:spacing w:before="0" w:after="0" w:line="600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房的资金支持工作。</w:t>
      </w:r>
    </w:p>
    <w:p>
      <w:pPr>
        <w:framePr w:w="9438" w:wrap="around" w:vAnchor="margin" w:hAnchor="text" w:x="2227" w:y="13686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人行新余中心支行：负责指导保障性租赁住房金融融资工</w:t>
      </w:r>
    </w:p>
    <w:p>
      <w:pPr>
        <w:framePr w:w="1118" w:wrap="around" w:vAnchor="margin" w:hAnchor="text" w:x="1586" w:y="14286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作。</w:t>
      </w:r>
    </w:p>
    <w:p>
      <w:pPr>
        <w:framePr w:w="1541" w:wrap="around" w:vAnchor="margin" w:hAnchor="text" w:x="9312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15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2"/>
        </w:rPr>
      </w:pPr>
      <w:r>
        <w:rPr>
          <w:rFonts w:ascii="Arial"/>
          <w:color w:val="FF0000"/>
          <w:spacing w:val="0"/>
          <w:sz w:val="14"/>
        </w:rPr>
        <w:cr/>
      </w:r>
      <w:r>
        <w:rPr>
          <w:rFonts w:ascii="Arial"/>
          <w:color w:val="FF0000"/>
          <w:spacing w:val="0"/>
          <w:sz w:val="2"/>
        </w:rPr>
        <w:br w:type="page"/>
      </w:r>
      <w:r>
        <w:rPr>
          <w:rFonts w:ascii="Arial"/>
          <w:color w:val="FF0000"/>
          <w:spacing w:val="0"/>
          <w:sz w:val="2"/>
        </w:rPr>
        <w:cr/>
      </w:r>
      <w:r>
        <w:rPr>
          <w:rFonts w:ascii="Arial"/>
          <w:color w:val="FF0000"/>
          <w:spacing w:val="0"/>
          <w:sz w:val="2"/>
        </w:rPr>
        <w:t xml:space="preserve"> </w:t>
      </w:r>
    </w:p>
    <w:p>
      <w:pPr>
        <w:framePr w:w="9441" w:wrap="around" w:vAnchor="margin" w:hAnchor="text" w:x="2227" w:y="2276"/>
        <w:widowControl w:val="0"/>
        <w:autoSpaceDE w:val="0"/>
        <w:autoSpaceDN w:val="0"/>
        <w:spacing w:before="0" w:after="0" w:line="353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建设银行新余分行</w:t>
      </w:r>
      <w:r>
        <w:rPr>
          <w:rFonts w:ascii="HVGNMP+TimesNewRomanPS-BoldMT"/>
          <w:b/>
          <w:color w:val="000000"/>
          <w:spacing w:val="0"/>
          <w:sz w:val="32"/>
        </w:rPr>
        <w:t>:</w:t>
      </w:r>
      <w:r>
        <w:rPr>
          <w:rFonts w:ascii="仿宋" w:hAnsi="仿宋" w:cs="仿宋"/>
          <w:color w:val="000000"/>
          <w:spacing w:val="0"/>
          <w:sz w:val="32"/>
        </w:rPr>
        <w:t>积极参与保障性租赁住房金融融资工作</w:t>
      </w:r>
    </w:p>
    <w:p>
      <w:pPr>
        <w:framePr w:w="4782" w:wrap="around" w:vAnchor="margin" w:hAnchor="text" w:x="1586" w:y="2886"/>
        <w:widowControl w:val="0"/>
        <w:autoSpaceDE w:val="0"/>
        <w:autoSpaceDN w:val="0"/>
        <w:spacing w:before="0" w:after="0" w:line="319" w:lineRule="exact"/>
        <w:ind w:left="0" w:right="0"/>
        <w:jc w:val="left"/>
        <w:rPr>
          <w:rFonts w:ascii="仿宋" w:hAnsi="仿宋" w:cs="仿宋"/>
          <w:color w:val="000000"/>
          <w:spacing w:val="0"/>
          <w:sz w:val="32"/>
        </w:rPr>
      </w:pPr>
      <w:r>
        <w:rPr>
          <w:rFonts w:ascii="仿宋" w:hAnsi="仿宋" w:cs="仿宋"/>
          <w:color w:val="000000"/>
          <w:spacing w:val="0"/>
          <w:sz w:val="32"/>
        </w:rPr>
        <w:t>和保障性租赁住房项目运营。</w:t>
      </w:r>
    </w:p>
    <w:p>
      <w:pPr>
        <w:framePr w:w="1541" w:wrap="around" w:vAnchor="margin" w:hAnchor="text" w:x="1586" w:y="14865"/>
        <w:widowControl w:val="0"/>
        <w:autoSpaceDE w:val="0"/>
        <w:autoSpaceDN w:val="0"/>
        <w:spacing w:before="0" w:after="0" w:line="315" w:lineRule="exact"/>
        <w:ind w:left="0" w:right="0"/>
        <w:jc w:val="left"/>
        <w:rPr>
          <w:rFonts w:ascii="华文楷体" w:hAnsi="华文楷体" w:cs="华文楷体"/>
          <w:color w:val="000000"/>
          <w:spacing w:val="0"/>
          <w:sz w:val="28"/>
        </w:rPr>
      </w:pPr>
      <w:r>
        <w:rPr>
          <w:rFonts w:ascii="华文楷体" w:hAnsi="华文楷体" w:cs="华文楷体"/>
          <w:color w:val="000000"/>
          <w:spacing w:val="0"/>
          <w:sz w:val="28"/>
        </w:rPr>
        <w:t xml:space="preserve">— </w:t>
      </w:r>
      <w:r>
        <w:rPr>
          <w:rFonts w:ascii="华文楷体"/>
          <w:color w:val="000000"/>
          <w:spacing w:val="0"/>
          <w:sz w:val="28"/>
        </w:rPr>
        <w:t xml:space="preserve">16 </w:t>
      </w:r>
      <w:r>
        <w:rPr>
          <w:rFonts w:ascii="华文楷体" w:hAnsi="华文楷体" w:cs="华文楷体"/>
          <w:color w:val="000000"/>
          <w:spacing w:val="0"/>
          <w:sz w:val="28"/>
        </w:rPr>
        <w:t xml:space="preserve"> —</w:t>
      </w:r>
    </w:p>
    <w:p>
      <w:pPr>
        <w:spacing w:before="0" w:after="0" w:line="0" w:lineRule="exact"/>
        <w:ind w:left="0" w:right="0"/>
        <w:jc w:val="left"/>
        <w:rPr>
          <w:rFonts w:ascii="Arial"/>
          <w:color w:val="FF0000"/>
          <w:spacing w:val="0"/>
          <w:sz w:val="14"/>
        </w:rPr>
      </w:pPr>
      <w:bookmarkStart w:id="0" w:name="_GoBack"/>
      <w:bookmarkEnd w:id="0"/>
    </w:p>
    <w:sectPr>
      <w:pgSz w:w="11900" w:h="16820"/>
      <w:pgMar w:top="0" w:right="0" w:bottom="0" w:left="0" w:header="720" w:footer="720" w:gutter="0"/>
      <w:pgNumType w:start="1"/>
      <w:cols w:space="720" w:num="1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  <w:embedRegular r:id="rId1" w:fontKey="{2A054DFC-88AD-4B3D-939C-25F90FF875DD}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  <w:embedRegular r:id="rId2" w:fontKey="{17383C56-4F6C-4671-B970-1A109EA8A879}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  <w:embedRegular r:id="rId3" w:fontKey="{11DD9B9F-7AEF-45EC-92D1-E00463593E52}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  <w:embedRegular r:id="rId4" w:fontKey="{A9B331CE-37C2-46DB-AD6E-399C0EC134D5}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5" w:fontKey="{22FBFBA6-4723-4457-989B-059A5B0FD151}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  <w:embedRegular r:id="rId6" w:fontKey="{AA073D0C-D82F-45B0-A285-E589A5F8A4B0}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  <w:embedRegular r:id="rId7" w:fontKey="{B74CEAEA-9074-48CE-AFEA-651CADC522D2}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  <w:embedRegular r:id="rId8" w:fontKey="{FBB9EF9E-D7F9-4CC2-9C83-C337F7053152}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  <w:embedRegular r:id="rId9" w:fontKey="{EF37A734-B7D9-4C95-A90E-A28940F53D00}"/>
  </w:font>
  <w:font w:name="FCWNMC+FangSong_GB2312">
    <w:altName w:val="Vrinda"/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10" w:fontKey="{B0DAD811-13F0-42ED-8338-23FA59EB056D}"/>
  </w:font>
  <w:font w:name="Vrinda">
    <w:panose1 w:val="020B0502040204020203"/>
    <w:charset w:val="00"/>
    <w:family w:val="auto"/>
    <w:pitch w:val="default"/>
    <w:sig w:usb0="00010003" w:usb1="00000000" w:usb2="00000000" w:usb3="00000000" w:csb0="00000001" w:csb1="00000000"/>
    <w:embedRegular r:id="rId11" w:fontKey="{CC28FC30-97B6-4DDC-A4CA-F4B264D299BC}"/>
  </w:font>
  <w:font w:name="VCLICK+TimesNewRomanPSMT">
    <w:altName w:val="Vrinda"/>
    <w:panose1 w:val="02000500000000000000"/>
    <w:charset w:val="00"/>
    <w:family w:val="auto"/>
    <w:pitch w:val="default"/>
    <w:sig w:usb0="00000000" w:usb1="00000000" w:usb2="00000000" w:usb3="00000000" w:csb0="00000000" w:csb1="00000000"/>
    <w:embedRegular r:id="rId12" w:fontKey="{5C8033D6-AF86-42EC-BD7B-E1D847543A3D}"/>
  </w:font>
  <w:font w:name="NBLHBW+TimesNewRomanPSMT">
    <w:panose1 w:val="02020603050405020304"/>
    <w:charset w:val="00"/>
    <w:family w:val="auto"/>
    <w:pitch w:val="default"/>
    <w:sig w:usb0="E0002EFF" w:usb1="C0007843" w:usb2="00000009" w:usb3="00000000" w:csb0="400001FF" w:csb1="FFFF0000"/>
    <w:embedRegular r:id="rId13" w:fontKey="{2F0F9CB8-D399-43F0-A9B7-DC79F88AB70E}"/>
  </w:font>
  <w:font w:name="VCBCAL+FZXBSJW--GB1-0">
    <w:panose1 w:val="020B0609070205080204"/>
    <w:charset w:val="80"/>
    <w:family w:val="auto"/>
    <w:pitch w:val="default"/>
    <w:sig w:usb0="E00002FF" w:usb1="6AC7FDFB" w:usb2="08000012" w:usb3="00000000" w:csb0="4002009F" w:csb1="DFD70000"/>
    <w:embedRegular r:id="rId14" w:fontKey="{D23853B1-3C31-484B-AD5A-9AA3C85CB5CF}"/>
  </w:font>
  <w:font w:name="华文楷体">
    <w:panose1 w:val="02010600040101010101"/>
    <w:charset w:val="86"/>
    <w:family w:val="auto"/>
    <w:pitch w:val="default"/>
    <w:sig w:usb0="00000287" w:usb1="080F0000" w:usb2="00000000" w:usb3="00000000" w:csb0="0004009F" w:csb1="DFD70000"/>
    <w:embedRegular r:id="rId15" w:fontKey="{A3A9F6D3-506F-465C-A8E6-35B2D56A6F3D}"/>
  </w:font>
  <w:font w:name="LPIPRM+TimesNewRomanPSMT">
    <w:panose1 w:val="02020603050405020304"/>
    <w:charset w:val="00"/>
    <w:family w:val="auto"/>
    <w:pitch w:val="default"/>
    <w:sig w:usb0="E0002EFF" w:usb1="C0007843" w:usb2="00000009" w:usb3="00000000" w:csb0="400001FF" w:csb1="FFFF0000"/>
    <w:embedRegular r:id="rId16" w:fontKey="{7552E04A-2D18-4DFB-979B-15CA74A2C8BC}"/>
  </w:font>
  <w:font w:name="IWRVBP+FZFSJW--GB1-0">
    <w:panose1 w:val="020B0609070205080204"/>
    <w:charset w:val="80"/>
    <w:family w:val="auto"/>
    <w:pitch w:val="default"/>
    <w:sig w:usb0="E00002FF" w:usb1="6AC7FDFB" w:usb2="08000012" w:usb3="00000000" w:csb0="4002009F" w:csb1="DFD70000"/>
    <w:embedRegular r:id="rId17" w:fontKey="{84019459-0C77-43D3-ADF7-5ABE7FF856F5}"/>
  </w:font>
  <w:font w:name="HVGNMP+TimesNewRomanPS-BoldMT">
    <w:panose1 w:val="02020803070505020304"/>
    <w:charset w:val="00"/>
    <w:family w:val="auto"/>
    <w:pitch w:val="default"/>
    <w:sig w:usb0="E0002EFF" w:usb1="C0007843" w:usb2="00000009" w:usb3="00000000" w:csb0="400001FF" w:csb1="FFFF0000"/>
    <w:embedRegular r:id="rId18" w:fontKey="{DFD07674-4163-45D6-9F20-25698676083D}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before="0" w:after="0"/>
      </w:pPr>
      <w:r>
        <w:separator/>
      </w:r>
    </w:p>
  </w:footnote>
  <w:footnote w:type="continuationSeparator" w:id="1">
    <w:p>
      <w:pPr>
        <w:spacing w:before="0" w:after="0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embedTrueTypeFonts/>
  <w:embedSystemFonts/>
  <w:documentProtection w:enforcement="0"/>
  <w:defaultTabStop w:val="708"/>
  <w:characterSpacingControl w:val="doNotCompress"/>
  <w:footnotePr>
    <w:footnote w:id="0"/>
    <w:footnote w:id="1"/>
  </w:footnotePr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docVars>
    <w:docVar w:name="commondata" w:val="eyJoZGlkIjoiZDI3NWE5ZmMyYzI1Mzg2NjU5MzgwMjM3NWFkODMwMTIifQ=="/>
  </w:docVars>
  <w:rsids>
    <w:rsidRoot w:val="00BA5B2D"/>
    <w:rsid w:val="00B06B85"/>
    <w:rsid w:val="00BA5B2D"/>
    <w:rsid w:val="17210BF5"/>
    <w:rsid w:val="7D0571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fillcolor="#FFFFFF" fill="t" stroke="t">
      <v:fill on="t" focussize="0,0"/>
      <v:stroke color="#000000"/>
    </o:shapedefaults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Theme="minorHAnsi" w:hAnsiTheme="minorHAnsi" w:eastAsiaTheme="minorEastAsia" w:cstheme="minorBidi"/>
      </w:rPr>
    </w:rPrDefault>
    <w:pPrDefault/>
  </w:docDefaults>
  <w:latentStyles w:count="260" w:defQFormat="0" w:defUnhideWhenUsed="1" w:defSemiHidden="1" w:defUIPriority="99" w:defLockedState="0">
    <w:lsdException w:unhideWhenUsed="0" w:uiPriority="0" w:semiHidden="0" w:name="Normal"/>
    <w:lsdException w:unhideWhenUsed="0" w:uiPriority="4294967295" w:semiHidden="0" w:name="heading 1"/>
    <w:lsdException w:unhideWhenUsed="0" w:uiPriority="4294967295" w:semiHidden="0" w:name="heading 2"/>
    <w:lsdException w:unhideWhenUsed="0" w:uiPriority="4294967295" w:semiHidden="0" w:name="heading 3"/>
    <w:lsdException w:unhideWhenUsed="0" w:uiPriority="4294967295" w:semiHidden="0" w:name="heading 4"/>
    <w:lsdException w:unhideWhenUsed="0" w:uiPriority="4294967295" w:semiHidden="0" w:name="heading 5"/>
    <w:lsdException w:unhideWhenUsed="0" w:uiPriority="4294967295" w:semiHidden="0" w:name="heading 6"/>
    <w:lsdException w:unhideWhenUsed="0" w:uiPriority="4294967295" w:semiHidden="0" w:name="heading 7"/>
    <w:lsdException w:unhideWhenUsed="0" w:uiPriority="4294967295" w:semiHidden="0" w:name="heading 8"/>
    <w:lsdException w:unhideWhenUsed="0" w:uiPriority="4294967295" w:semiHidden="0" w:name="heading 9"/>
    <w:lsdException w:unhideWhenUsed="0" w:uiPriority="4294967295" w:semiHidden="0" w:name="index 1"/>
    <w:lsdException w:unhideWhenUsed="0" w:uiPriority="4294967295" w:semiHidden="0" w:name="index 2"/>
    <w:lsdException w:unhideWhenUsed="0" w:uiPriority="4294967295" w:semiHidden="0" w:name="index 3"/>
    <w:lsdException w:unhideWhenUsed="0" w:uiPriority="4294967295" w:semiHidden="0" w:name="index 4"/>
    <w:lsdException w:unhideWhenUsed="0" w:uiPriority="4294967295" w:semiHidden="0" w:name="index 5"/>
    <w:lsdException w:unhideWhenUsed="0" w:uiPriority="4294967295" w:semiHidden="0" w:name="index 6"/>
    <w:lsdException w:unhideWhenUsed="0" w:uiPriority="4294967295" w:semiHidden="0" w:name="index 7"/>
    <w:lsdException w:unhideWhenUsed="0" w:uiPriority="4294967295" w:semiHidden="0" w:name="index 8"/>
    <w:lsdException w:unhideWhenUsed="0" w:uiPriority="4294967295" w:semiHidden="0" w:name="index 9"/>
    <w:lsdException w:unhideWhenUsed="0" w:uiPriority="4294967295" w:semiHidden="0" w:name="toc 1"/>
    <w:lsdException w:unhideWhenUsed="0" w:uiPriority="4294967295" w:semiHidden="0" w:name="toc 2"/>
    <w:lsdException w:unhideWhenUsed="0" w:uiPriority="4294967295" w:semiHidden="0" w:name="toc 3"/>
    <w:lsdException w:unhideWhenUsed="0" w:uiPriority="4294967295" w:semiHidden="0" w:name="toc 4"/>
    <w:lsdException w:unhideWhenUsed="0" w:uiPriority="4294967295" w:semiHidden="0" w:name="toc 5"/>
    <w:lsdException w:unhideWhenUsed="0" w:uiPriority="4294967295" w:semiHidden="0" w:name="toc 6"/>
    <w:lsdException w:unhideWhenUsed="0" w:uiPriority="4294967295" w:semiHidden="0" w:name="toc 7"/>
    <w:lsdException w:unhideWhenUsed="0" w:uiPriority="4294967295" w:semiHidden="0" w:name="toc 8"/>
    <w:lsdException w:unhideWhenUsed="0" w:uiPriority="4294967295" w:semiHidden="0" w:name="toc 9"/>
    <w:lsdException w:unhideWhenUsed="0" w:uiPriority="4294967295" w:semiHidden="0" w:name="Normal Indent"/>
    <w:lsdException w:unhideWhenUsed="0" w:uiPriority="4294967295" w:semiHidden="0" w:name="footnote text"/>
    <w:lsdException w:unhideWhenUsed="0" w:uiPriority="4294967295" w:semiHidden="0" w:name="annotation text"/>
    <w:lsdException w:unhideWhenUsed="0" w:uiPriority="4294967295" w:semiHidden="0" w:name="header"/>
    <w:lsdException w:unhideWhenUsed="0" w:uiPriority="4294967295" w:semiHidden="0" w:name="footer"/>
    <w:lsdException w:unhideWhenUsed="0" w:uiPriority="4294967295" w:semiHidden="0" w:name="index heading"/>
    <w:lsdException w:unhideWhenUsed="0" w:uiPriority="4294967295" w:semiHidden="0" w:name="caption"/>
    <w:lsdException w:unhideWhenUsed="0" w:uiPriority="4294967295" w:semiHidden="0" w:name="table of figures"/>
    <w:lsdException w:unhideWhenUsed="0" w:uiPriority="4294967295" w:semiHidden="0" w:name="envelope address"/>
    <w:lsdException w:unhideWhenUsed="0" w:uiPriority="4294967295" w:semiHidden="0" w:name="envelope return"/>
    <w:lsdException w:unhideWhenUsed="0" w:uiPriority="4294967295" w:semiHidden="0" w:name="footnote reference"/>
    <w:lsdException w:unhideWhenUsed="0" w:uiPriority="4294967295" w:semiHidden="0" w:name="annotation reference"/>
    <w:lsdException w:unhideWhenUsed="0" w:uiPriority="4294967295" w:semiHidden="0" w:name="line number"/>
    <w:lsdException w:unhideWhenUsed="0" w:uiPriority="4294967295" w:semiHidden="0" w:name="page number"/>
    <w:lsdException w:unhideWhenUsed="0" w:uiPriority="4294967295" w:semiHidden="0" w:name="endnote reference"/>
    <w:lsdException w:unhideWhenUsed="0" w:uiPriority="4294967295" w:semiHidden="0" w:name="endnote text"/>
    <w:lsdException w:unhideWhenUsed="0" w:uiPriority="4294967295" w:semiHidden="0" w:name="table of authorities"/>
    <w:lsdException w:unhideWhenUsed="0" w:uiPriority="4294967295" w:semiHidden="0" w:name="macro"/>
    <w:lsdException w:unhideWhenUsed="0" w:uiPriority="4294967295" w:semiHidden="0" w:name="toa heading"/>
    <w:lsdException w:unhideWhenUsed="0" w:uiPriority="4294967295" w:semiHidden="0" w:name="List"/>
    <w:lsdException w:unhideWhenUsed="0" w:uiPriority="4294967295" w:semiHidden="0" w:name="List Bullet"/>
    <w:lsdException w:unhideWhenUsed="0" w:uiPriority="4294967295" w:semiHidden="0" w:name="List Number"/>
    <w:lsdException w:unhideWhenUsed="0" w:uiPriority="4294967295" w:semiHidden="0" w:name="List 2"/>
    <w:lsdException w:unhideWhenUsed="0" w:uiPriority="4294967295" w:semiHidden="0" w:name="List 3"/>
    <w:lsdException w:unhideWhenUsed="0" w:uiPriority="4294967295" w:semiHidden="0" w:name="List 4"/>
    <w:lsdException w:unhideWhenUsed="0" w:uiPriority="4294967295" w:semiHidden="0" w:name="List 5"/>
    <w:lsdException w:unhideWhenUsed="0" w:uiPriority="4294967295" w:semiHidden="0" w:name="List Bullet 2"/>
    <w:lsdException w:unhideWhenUsed="0" w:uiPriority="4294967295" w:semiHidden="0" w:name="List Bullet 3"/>
    <w:lsdException w:unhideWhenUsed="0" w:uiPriority="4294967295" w:semiHidden="0" w:name="List Bullet 4"/>
    <w:lsdException w:unhideWhenUsed="0" w:uiPriority="4294967295" w:semiHidden="0" w:name="List Bullet 5"/>
    <w:lsdException w:unhideWhenUsed="0" w:uiPriority="4294967295" w:semiHidden="0" w:name="List Number 2"/>
    <w:lsdException w:unhideWhenUsed="0" w:uiPriority="4294967295" w:semiHidden="0" w:name="List Number 3"/>
    <w:lsdException w:unhideWhenUsed="0" w:uiPriority="4294967295" w:semiHidden="0" w:name="List Number 4"/>
    <w:lsdException w:unhideWhenUsed="0" w:uiPriority="4294967295" w:semiHidden="0" w:name="List Number 5"/>
    <w:lsdException w:unhideWhenUsed="0" w:uiPriority="4294967295" w:semiHidden="0" w:name="Title"/>
    <w:lsdException w:unhideWhenUsed="0" w:uiPriority="4294967295" w:semiHidden="0" w:name="Closing"/>
    <w:lsdException w:unhideWhenUsed="0" w:uiPriority="4294967295" w:semiHidden="0" w:name="Signature"/>
    <w:lsdException w:qFormat="1" w:unhideWhenUsed="0" w:uiPriority="0" w:name="Default Paragraph Font"/>
    <w:lsdException w:unhideWhenUsed="0" w:uiPriority="4294967295" w:semiHidden="0" w:name="Body Text"/>
    <w:lsdException w:unhideWhenUsed="0" w:uiPriority="4294967295" w:semiHidden="0" w:name="Body Text Indent"/>
    <w:lsdException w:unhideWhenUsed="0" w:uiPriority="4294967295" w:semiHidden="0" w:name="List Continue"/>
    <w:lsdException w:unhideWhenUsed="0" w:uiPriority="4294967295" w:semiHidden="0" w:name="List Continue 2"/>
    <w:lsdException w:unhideWhenUsed="0" w:uiPriority="4294967295" w:semiHidden="0" w:name="List Continue 3"/>
    <w:lsdException w:unhideWhenUsed="0" w:uiPriority="4294967295" w:semiHidden="0" w:name="List Continue 4"/>
    <w:lsdException w:unhideWhenUsed="0" w:uiPriority="4294967295" w:semiHidden="0" w:name="List Continue 5"/>
    <w:lsdException w:unhideWhenUsed="0" w:uiPriority="4294967295" w:semiHidden="0" w:name="Message Header"/>
    <w:lsdException w:unhideWhenUsed="0" w:uiPriority="4294967295" w:semiHidden="0" w:name="Subtitle"/>
    <w:lsdException w:unhideWhenUsed="0" w:uiPriority="4294967295" w:semiHidden="0" w:name="Salutation"/>
    <w:lsdException w:unhideWhenUsed="0" w:uiPriority="4294967295" w:semiHidden="0" w:name="Date"/>
    <w:lsdException w:unhideWhenUsed="0" w:uiPriority="4294967295" w:semiHidden="0" w:name="Body Text First Indent"/>
    <w:lsdException w:unhideWhenUsed="0" w:uiPriority="4294967295" w:semiHidden="0" w:name="Body Text First Indent 2"/>
    <w:lsdException w:unhideWhenUsed="0" w:uiPriority="4294967295" w:semiHidden="0" w:name="Note Heading"/>
    <w:lsdException w:unhideWhenUsed="0" w:uiPriority="4294967295" w:semiHidden="0" w:name="Body Text 2"/>
    <w:lsdException w:unhideWhenUsed="0" w:uiPriority="4294967295" w:semiHidden="0" w:name="Body Text 3"/>
    <w:lsdException w:unhideWhenUsed="0" w:uiPriority="4294967295" w:semiHidden="0" w:name="Body Text Indent 2"/>
    <w:lsdException w:unhideWhenUsed="0" w:uiPriority="4294967295" w:semiHidden="0" w:name="Body Text Indent 3"/>
    <w:lsdException w:unhideWhenUsed="0" w:uiPriority="4294967295" w:semiHidden="0" w:name="Block Text"/>
    <w:lsdException w:unhideWhenUsed="0" w:uiPriority="4294967295" w:semiHidden="0" w:name="Hyperlink"/>
    <w:lsdException w:unhideWhenUsed="0" w:uiPriority="4294967295" w:semiHidden="0" w:name="FollowedHyperlink"/>
    <w:lsdException w:unhideWhenUsed="0" w:uiPriority="4294967295" w:semiHidden="0" w:name="Strong"/>
    <w:lsdException w:unhideWhenUsed="0" w:uiPriority="4294967295" w:semiHidden="0" w:name="Emphasis"/>
    <w:lsdException w:unhideWhenUsed="0" w:uiPriority="4294967295" w:semiHidden="0" w:name="Document Map"/>
    <w:lsdException w:unhideWhenUsed="0" w:uiPriority="4294967295" w:semiHidden="0" w:name="Plain Text"/>
    <w:lsdException w:unhideWhenUsed="0" w:uiPriority="4294967295" w:semiHidden="0" w:name="E-mail Signature"/>
    <w:lsdException w:unhideWhenUsed="0" w:uiPriority="4294967295" w:semiHidden="0" w:name="Normal (Web)"/>
    <w:lsdException w:unhideWhenUsed="0" w:uiPriority="4294967295" w:semiHidden="0" w:name="HTML Acronym"/>
    <w:lsdException w:unhideWhenUsed="0" w:uiPriority="4294967295" w:semiHidden="0" w:name="HTML Address"/>
    <w:lsdException w:unhideWhenUsed="0" w:uiPriority="4294967295" w:semiHidden="0" w:name="HTML Cite"/>
    <w:lsdException w:unhideWhenUsed="0" w:uiPriority="4294967295" w:semiHidden="0" w:name="HTML Code"/>
    <w:lsdException w:unhideWhenUsed="0" w:uiPriority="4294967295" w:semiHidden="0" w:name="HTML Definition"/>
    <w:lsdException w:unhideWhenUsed="0" w:uiPriority="4294967295" w:semiHidden="0" w:name="HTML Keyboard"/>
    <w:lsdException w:unhideWhenUsed="0" w:uiPriority="4294967295" w:semiHidden="0" w:name="HTML Preformatted"/>
    <w:lsdException w:unhideWhenUsed="0" w:uiPriority="4294967295" w:semiHidden="0" w:name="HTML Sample"/>
    <w:lsdException w:unhideWhenUsed="0" w:uiPriority="4294967295" w:semiHidden="0" w:name="HTML Typewriter"/>
    <w:lsdException w:unhideWhenUsed="0" w:uiPriority="4294967295" w:semiHidden="0" w:name="HTML Variable"/>
    <w:lsdException w:unhideWhenUsed="0" w:uiPriority="4294967295" w:semiHidden="0" w:name="Normal Table"/>
    <w:lsdException w:unhideWhenUsed="0" w:uiPriority="4294967295" w:semiHidden="0" w:name="annotation subject"/>
    <w:lsdException w:unhideWhenUsed="0" w:uiPriority="0" w:name="No List"/>
    <w:lsdException w:unhideWhenUsed="0" w:uiPriority="4294967295" w:semiHidden="0" w:name="Table Simple 1"/>
    <w:lsdException w:unhideWhenUsed="0" w:uiPriority="4294967295" w:semiHidden="0" w:name="Table Simple 2"/>
    <w:lsdException w:unhideWhenUsed="0" w:uiPriority="4294967295" w:semiHidden="0" w:name="Table Simple 3"/>
    <w:lsdException w:unhideWhenUsed="0" w:uiPriority="4294967295" w:semiHidden="0" w:name="Table Classic 1"/>
    <w:lsdException w:unhideWhenUsed="0" w:uiPriority="4294967295" w:semiHidden="0" w:name="Table Classic 2"/>
    <w:lsdException w:unhideWhenUsed="0" w:uiPriority="4294967295" w:semiHidden="0" w:name="Table Classic 3"/>
    <w:lsdException w:unhideWhenUsed="0" w:uiPriority="4294967295" w:semiHidden="0" w:name="Table Classic 4"/>
    <w:lsdException w:unhideWhenUsed="0" w:uiPriority="4294967295" w:semiHidden="0" w:name="Table Colorful 1"/>
    <w:lsdException w:unhideWhenUsed="0" w:uiPriority="4294967295" w:semiHidden="0" w:name="Table Colorful 2"/>
    <w:lsdException w:unhideWhenUsed="0" w:uiPriority="4294967295" w:semiHidden="0" w:name="Table Colorful 3"/>
    <w:lsdException w:unhideWhenUsed="0" w:uiPriority="4294967295" w:semiHidden="0" w:name="Table Columns 1"/>
    <w:lsdException w:unhideWhenUsed="0" w:uiPriority="4294967295" w:semiHidden="0" w:name="Table Columns 2"/>
    <w:lsdException w:unhideWhenUsed="0" w:uiPriority="4294967295" w:semiHidden="0" w:name="Table Columns 3"/>
    <w:lsdException w:unhideWhenUsed="0" w:uiPriority="4294967295" w:semiHidden="0" w:name="Table Columns 4"/>
    <w:lsdException w:unhideWhenUsed="0" w:uiPriority="4294967295" w:semiHidden="0" w:name="Table Columns 5"/>
    <w:lsdException w:unhideWhenUsed="0" w:uiPriority="4294967295" w:semiHidden="0" w:name="Table Grid 1"/>
    <w:lsdException w:unhideWhenUsed="0" w:uiPriority="4294967295" w:semiHidden="0" w:name="Table Grid 2"/>
    <w:lsdException w:unhideWhenUsed="0" w:uiPriority="4294967295" w:semiHidden="0" w:name="Table Grid 3"/>
    <w:lsdException w:unhideWhenUsed="0" w:uiPriority="4294967295" w:semiHidden="0" w:name="Table Grid 4"/>
    <w:lsdException w:unhideWhenUsed="0" w:uiPriority="4294967295" w:semiHidden="0" w:name="Table Grid 5"/>
    <w:lsdException w:unhideWhenUsed="0" w:uiPriority="4294967295" w:semiHidden="0" w:name="Table Grid 6"/>
    <w:lsdException w:unhideWhenUsed="0" w:uiPriority="4294967295" w:semiHidden="0" w:name="Table Grid 7"/>
    <w:lsdException w:unhideWhenUsed="0" w:uiPriority="4294967295" w:semiHidden="0" w:name="Table Grid 8"/>
    <w:lsdException w:unhideWhenUsed="0" w:uiPriority="4294967295" w:semiHidden="0" w:name="Table List 1"/>
    <w:lsdException w:unhideWhenUsed="0" w:uiPriority="4294967295" w:semiHidden="0" w:name="Table List 2"/>
    <w:lsdException w:unhideWhenUsed="0" w:uiPriority="4294967295" w:semiHidden="0" w:name="Table List 3"/>
    <w:lsdException w:unhideWhenUsed="0" w:uiPriority="4294967295" w:semiHidden="0" w:name="Table List 4"/>
    <w:lsdException w:unhideWhenUsed="0" w:uiPriority="4294967295" w:semiHidden="0" w:name="Table List 5"/>
    <w:lsdException w:unhideWhenUsed="0" w:uiPriority="4294967295" w:semiHidden="0" w:name="Table List 6"/>
    <w:lsdException w:unhideWhenUsed="0" w:uiPriority="4294967295" w:semiHidden="0" w:name="Table List 7"/>
    <w:lsdException w:unhideWhenUsed="0" w:uiPriority="4294967295" w:semiHidden="0" w:name="Table List 8"/>
    <w:lsdException w:unhideWhenUsed="0" w:uiPriority="4294967295" w:semiHidden="0" w:name="Table 3D effects 1"/>
    <w:lsdException w:unhideWhenUsed="0" w:uiPriority="4294967295" w:semiHidden="0" w:name="Table 3D effects 2"/>
    <w:lsdException w:unhideWhenUsed="0" w:uiPriority="4294967295" w:semiHidden="0" w:name="Table 3D effects 3"/>
    <w:lsdException w:unhideWhenUsed="0" w:uiPriority="4294967295" w:semiHidden="0" w:name="Table Contemporary"/>
    <w:lsdException w:unhideWhenUsed="0" w:uiPriority="4294967295" w:semiHidden="0" w:name="Table Elegant"/>
    <w:lsdException w:unhideWhenUsed="0" w:uiPriority="4294967295" w:semiHidden="0" w:name="Table Professional"/>
    <w:lsdException w:unhideWhenUsed="0" w:uiPriority="4294967295" w:semiHidden="0" w:name="Table Subtle 1"/>
    <w:lsdException w:unhideWhenUsed="0" w:uiPriority="4294967295" w:semiHidden="0" w:name="Table Subtle 2"/>
    <w:lsdException w:unhideWhenUsed="0" w:uiPriority="4294967295" w:semiHidden="0" w:name="Table Web 1"/>
    <w:lsdException w:unhideWhenUsed="0" w:uiPriority="4294967295" w:semiHidden="0" w:name="Table Web 2"/>
    <w:lsdException w:unhideWhenUsed="0" w:uiPriority="4294967295" w:semiHidden="0" w:name="Table Web 3"/>
    <w:lsdException w:unhideWhenUsed="0" w:uiPriority="4294967295" w:semiHidden="0" w:name="Balloon Text"/>
    <w:lsdException w:unhideWhenUsed="0" w:uiPriority="4294967295" w:semiHidden="0" w:name="Table Grid"/>
    <w:lsdException w:unhideWhenUsed="0" w:uiPriority="4294967295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link w:val="3"/>
    <w:uiPriority w:val="0"/>
    <w:pPr>
      <w:spacing w:before="120" w:after="240"/>
      <w:jc w:val="both"/>
    </w:pPr>
    <w:rPr>
      <w:rFonts w:asciiTheme="minorHAnsi" w:hAnsiTheme="minorHAnsi" w:eastAsiaTheme="minorEastAsia" w:cstheme="minorBidi"/>
      <w:sz w:val="22"/>
      <w:szCs w:val="22"/>
      <w:lang w:val="ru-RU" w:bidi="ar-SA"/>
    </w:rPr>
  </w:style>
  <w:style w:type="character" w:default="1" w:styleId="3">
    <w:name w:val="Default Paragraph Font"/>
    <w:link w:val="1"/>
    <w:semiHidden/>
    <w:qFormat/>
    <w:uiPriority w:val="0"/>
  </w:style>
  <w:style w:type="table" w:default="1" w:styleId="2">
    <w:name w:val="Normal Table"/>
    <w:uiPriority w:val="4294967295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default="1" w:styleId="4">
    <w:name w:val="No List"/>
    <w:semiHidden/>
    <w:uiPriority w:val="0"/>
    <w:rPr>
      <w:rFonts w:asciiTheme="minorHAnsi" w:hAnsiTheme="minorHAnsi" w:eastAsiaTheme="minorEastAsia" w:cstheme="minorBidi"/>
      <w:sz w:val="21"/>
      <w:szCs w:val="22"/>
    </w:rPr>
  </w:style>
  <w:style w:type="table" w:customStyle="1" w:styleId="5">
    <w:name w:val="Table Normal"/>
    <w:semiHidden/>
    <w:uiPriority w:val="0"/>
    <w:tblPr>
      <w:tblCellMar>
        <w:top w:w="0" w:type="dxa"/>
        <w:left w:w="108" w:type="dxa"/>
        <w:bottom w:w="0" w:type="dxa"/>
        <w:right w:w="0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image" Target="media/image5.jpeg"/><Relationship Id="rId8" Type="http://schemas.openxmlformats.org/officeDocument/2006/relationships/image" Target="media/image4.jpeg"/><Relationship Id="rId7" Type="http://schemas.openxmlformats.org/officeDocument/2006/relationships/image" Target="media/image3.jpeg"/><Relationship Id="rId6" Type="http://schemas.openxmlformats.org/officeDocument/2006/relationships/image" Target="media/image2.jpeg"/><Relationship Id="rId5" Type="http://schemas.openxmlformats.org/officeDocument/2006/relationships/image" Target="media/image1.jpeg"/><Relationship Id="rId4" Type="http://schemas.openxmlformats.org/officeDocument/2006/relationships/theme" Target="theme/theme1.xml"/><Relationship Id="rId3" Type="http://schemas.openxmlformats.org/officeDocument/2006/relationships/footnotes" Target="footnotes.xml"/><Relationship Id="rId2" Type="http://schemas.openxmlformats.org/officeDocument/2006/relationships/settings" Target="settings.xml"/><Relationship Id="rId18" Type="http://schemas.openxmlformats.org/officeDocument/2006/relationships/fontTable" Target="fontTable.xml"/><Relationship Id="rId17" Type="http://schemas.openxmlformats.org/officeDocument/2006/relationships/customXml" Target="../customXml/item1.xml"/><Relationship Id="rId16" Type="http://schemas.openxmlformats.org/officeDocument/2006/relationships/image" Target="media/image12.jpeg"/><Relationship Id="rId15" Type="http://schemas.openxmlformats.org/officeDocument/2006/relationships/image" Target="media/image11.jpeg"/><Relationship Id="rId14" Type="http://schemas.openxmlformats.org/officeDocument/2006/relationships/image" Target="media/image10.jpeg"/><Relationship Id="rId13" Type="http://schemas.openxmlformats.org/officeDocument/2006/relationships/image" Target="media/image9.jpeg"/><Relationship Id="rId12" Type="http://schemas.openxmlformats.org/officeDocument/2006/relationships/image" Target="media/image8.jpeg"/><Relationship Id="rId11" Type="http://schemas.openxmlformats.org/officeDocument/2006/relationships/image" Target="media/image7.jpeg"/><Relationship Id="rId10" Type="http://schemas.openxmlformats.org/officeDocument/2006/relationships/image" Target="media/image6.jpeg"/><Relationship Id="rId1" Type="http://schemas.openxmlformats.org/officeDocument/2006/relationships/styles" Target="styles.xml"/></Relationships>
</file>

<file path=word/_rels/fontTable.xml.rels><?xml version="1.0" encoding="UTF-8" standalone="yes"?>
<Relationships xmlns="http://schemas.openxmlformats.org/package/2006/relationships"><Relationship Id="rId9" Type="http://schemas.openxmlformats.org/officeDocument/2006/relationships/font" Target="fonts/font9.odttf"/><Relationship Id="rId8" Type="http://schemas.openxmlformats.org/officeDocument/2006/relationships/font" Target="fonts/font8.odttf"/><Relationship Id="rId7" Type="http://schemas.openxmlformats.org/officeDocument/2006/relationships/font" Target="fonts/font7.odttf"/><Relationship Id="rId6" Type="http://schemas.openxmlformats.org/officeDocument/2006/relationships/font" Target="fonts/font6.odttf"/><Relationship Id="rId5" Type="http://schemas.openxmlformats.org/officeDocument/2006/relationships/font" Target="fonts/font5.odttf"/><Relationship Id="rId4" Type="http://schemas.openxmlformats.org/officeDocument/2006/relationships/font" Target="fonts/font4.odttf"/><Relationship Id="rId3" Type="http://schemas.openxmlformats.org/officeDocument/2006/relationships/font" Target="fonts/font3.odttf"/><Relationship Id="rId2" Type="http://schemas.openxmlformats.org/officeDocument/2006/relationships/font" Target="fonts/font2.odttf"/><Relationship Id="rId18" Type="http://schemas.openxmlformats.org/officeDocument/2006/relationships/font" Target="fonts/font18.odttf"/><Relationship Id="rId17" Type="http://schemas.openxmlformats.org/officeDocument/2006/relationships/font" Target="fonts/font17.odttf"/><Relationship Id="rId16" Type="http://schemas.openxmlformats.org/officeDocument/2006/relationships/font" Target="fonts/font16.odttf"/><Relationship Id="rId15" Type="http://schemas.openxmlformats.org/officeDocument/2006/relationships/font" Target="fonts/font15.odttf"/><Relationship Id="rId14" Type="http://schemas.openxmlformats.org/officeDocument/2006/relationships/font" Target="fonts/font14.odttf"/><Relationship Id="rId13" Type="http://schemas.openxmlformats.org/officeDocument/2006/relationships/font" Target="fonts/font13.odttf"/><Relationship Id="rId12" Type="http://schemas.openxmlformats.org/officeDocument/2006/relationships/font" Target="fonts/font12.odttf"/><Relationship Id="rId11" Type="http://schemas.openxmlformats.org/officeDocument/2006/relationships/font" Target="fonts/font11.odttf"/><Relationship Id="rId10" Type="http://schemas.openxmlformats.org/officeDocument/2006/relationships/font" Target="fonts/font10.odttf"/><Relationship Id="rId1" Type="http://schemas.openxmlformats.org/officeDocument/2006/relationships/font" Target="fonts/font1.odttf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  <customShpExts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39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52"/>
    <customShpInfo spid="_x0000_s1053"/>
    <customShpInfo spid="_x0000_s1054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Company>Aspose</Company>
  <Pages>16</Pages>
  <Words>7659</Words>
  <Characters>7744</Characters>
  <Lines>333</Lines>
  <Paragraphs>333</Paragraphs>
  <TotalTime>4</TotalTime>
  <ScaleCrop>false</ScaleCrop>
  <LinksUpToDate>false</LinksUpToDate>
  <CharactersWithSpaces>7839</CharactersWithSpaces>
  <Application>WPS Office_11.1.0.11830_F1E327BC-269C-435d-A152-05C5408002CA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2022-05-18T10:24:00Z</dcterms:created>
  <dc:creator>SYSTEM</dc:creator>
  <cp:lastModifiedBy>蕾雷</cp:lastModifiedBy>
  <dcterms:modified xsi:type="dcterms:W3CDTF">2022-07-05T02:58:14Z</dcterms:modified>
  <cp:revision>1</cp:revision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2052-11.1.0.11830</vt:lpwstr>
  </property>
  <property fmtid="{D5CDD505-2E9C-101B-9397-08002B2CF9AE}" pid="3" name="ICV">
    <vt:lpwstr>965AD1B23758474F917CFDBE0A1593FD</vt:lpwstr>
  </property>
</Properties>
</file>