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textAlignment w:val="center"/>
        <w:rPr>
          <w:rFonts w:hint="eastAsia" w:ascii="黑体" w:hAnsi="黑体" w:eastAsia="黑体" w:cs="黑体"/>
          <w:color w:val="000000"/>
          <w:kern w:val="0"/>
          <w:sz w:val="32"/>
          <w:szCs w:val="32"/>
          <w:lang w:eastAsia="zh-CN" w:bidi="ar"/>
        </w:rPr>
      </w:pPr>
    </w:p>
    <w:tbl>
      <w:tblPr>
        <w:tblStyle w:val="11"/>
        <w:tblW w:w="13439" w:type="dxa"/>
        <w:tblInd w:w="96" w:type="dxa"/>
        <w:tblLayout w:type="fixed"/>
        <w:tblCellMar>
          <w:top w:w="0" w:type="dxa"/>
          <w:left w:w="108" w:type="dxa"/>
          <w:bottom w:w="0" w:type="dxa"/>
          <w:right w:w="108" w:type="dxa"/>
        </w:tblCellMar>
      </w:tblPr>
      <w:tblGrid>
        <w:gridCol w:w="810"/>
        <w:gridCol w:w="1470"/>
        <w:gridCol w:w="1985"/>
        <w:gridCol w:w="9174"/>
      </w:tblGrid>
      <w:tr>
        <w:tblPrEx>
          <w:tblLayout w:type="fixed"/>
          <w:tblCellMar>
            <w:top w:w="0" w:type="dxa"/>
            <w:left w:w="108" w:type="dxa"/>
            <w:bottom w:w="0" w:type="dxa"/>
            <w:right w:w="108" w:type="dxa"/>
          </w:tblCellMar>
        </w:tblPrEx>
        <w:trPr>
          <w:trHeight w:val="936" w:hRule="atLeast"/>
        </w:trPr>
        <w:tc>
          <w:tcPr>
            <w:tcW w:w="13439" w:type="dxa"/>
            <w:gridSpan w:val="4"/>
            <w:vMerge w:val="restart"/>
            <w:tcBorders>
              <w:top w:val="nil"/>
              <w:left w:val="nil"/>
              <w:bottom w:val="single" w:color="000000" w:sz="8" w:space="0"/>
              <w:right w:val="nil"/>
            </w:tcBorders>
            <w:shd w:val="clear" w:color="auto" w:fill="auto"/>
            <w:vAlign w:val="center"/>
          </w:tcPr>
          <w:p>
            <w:pPr>
              <w:widowControl/>
              <w:jc w:val="center"/>
              <w:textAlignment w:val="center"/>
              <w:rPr>
                <w:rFonts w:ascii="方正小标宋简体" w:hAnsi="方正小标宋简体" w:eastAsia="创艺简标宋" w:cs="方正小标宋简体"/>
                <w:color w:val="000000"/>
                <w:sz w:val="44"/>
                <w:szCs w:val="44"/>
              </w:rPr>
            </w:pPr>
            <w:r>
              <w:rPr>
                <w:rFonts w:hint="eastAsia" w:ascii="方正小标宋简体" w:hAnsi="方正小标宋简体" w:eastAsia="方正小标宋简体" w:cs="方正小标宋简体"/>
                <w:color w:val="000000"/>
                <w:kern w:val="0"/>
                <w:sz w:val="44"/>
                <w:szCs w:val="44"/>
                <w:lang w:bidi="ar"/>
              </w:rPr>
              <w:t>装配式建筑发展可复制推广经验清单（第一批）</w:t>
            </w:r>
          </w:p>
        </w:tc>
      </w:tr>
      <w:tr>
        <w:tblPrEx>
          <w:tblLayout w:type="fixed"/>
          <w:tblCellMar>
            <w:top w:w="0" w:type="dxa"/>
            <w:left w:w="108" w:type="dxa"/>
            <w:bottom w:w="0" w:type="dxa"/>
            <w:right w:w="108" w:type="dxa"/>
          </w:tblCellMar>
        </w:tblPrEx>
        <w:trPr>
          <w:trHeight w:val="936" w:hRule="atLeast"/>
        </w:trPr>
        <w:tc>
          <w:tcPr>
            <w:tcW w:w="13439" w:type="dxa"/>
            <w:gridSpan w:val="4"/>
            <w:vMerge w:val="continue"/>
            <w:tcBorders>
              <w:top w:val="nil"/>
              <w:left w:val="nil"/>
              <w:bottom w:val="single" w:color="000000" w:sz="8" w:space="0"/>
              <w:right w:val="nil"/>
            </w:tcBorders>
            <w:shd w:val="clear" w:color="auto" w:fill="auto"/>
            <w:vAlign w:val="center"/>
          </w:tcPr>
          <w:p>
            <w:pPr>
              <w:jc w:val="center"/>
              <w:rPr>
                <w:rFonts w:ascii="方正小标宋简体" w:hAnsi="方正小标宋简体" w:eastAsia="方正小标宋简体" w:cs="方正小标宋简体"/>
                <w:color w:val="000000"/>
                <w:sz w:val="44"/>
                <w:szCs w:val="44"/>
              </w:rPr>
            </w:pPr>
          </w:p>
        </w:tc>
      </w:tr>
      <w:tr>
        <w:tblPrEx>
          <w:tblLayout w:type="fixed"/>
          <w:tblCellMar>
            <w:top w:w="0" w:type="dxa"/>
            <w:left w:w="108" w:type="dxa"/>
            <w:bottom w:w="0" w:type="dxa"/>
            <w:right w:w="108" w:type="dxa"/>
          </w:tblCellMar>
        </w:tblPrEx>
        <w:trPr>
          <w:trHeight w:val="933" w:hRule="atLeast"/>
        </w:trPr>
        <w:tc>
          <w:tcPr>
            <w:tcW w:w="810"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黑体" w:hAnsi="宋体" w:eastAsia="黑体" w:cs="黑体"/>
                <w:color w:val="000000"/>
                <w:sz w:val="28"/>
                <w:szCs w:val="28"/>
              </w:rPr>
            </w:pPr>
            <w:r>
              <w:rPr>
                <w:rFonts w:hint="eastAsia" w:ascii="黑体" w:hAnsi="宋体" w:eastAsia="黑体" w:cs="黑体"/>
                <w:color w:val="000000"/>
                <w:kern w:val="0"/>
                <w:sz w:val="28"/>
                <w:szCs w:val="28"/>
                <w:lang w:bidi="ar"/>
              </w:rPr>
              <w:t>序号</w:t>
            </w:r>
          </w:p>
        </w:tc>
        <w:tc>
          <w:tcPr>
            <w:tcW w:w="1470" w:type="dxa"/>
            <w:tcBorders>
              <w:top w:val="single" w:color="000000" w:sz="8" w:space="0"/>
              <w:left w:val="nil"/>
              <w:bottom w:val="single" w:color="000000" w:sz="8" w:space="0"/>
              <w:right w:val="single" w:color="000000" w:sz="8" w:space="0"/>
            </w:tcBorders>
            <w:shd w:val="clear" w:color="auto" w:fill="auto"/>
            <w:vAlign w:val="center"/>
          </w:tcPr>
          <w:p>
            <w:pPr>
              <w:widowControl/>
              <w:jc w:val="center"/>
              <w:textAlignment w:val="center"/>
              <w:rPr>
                <w:rFonts w:ascii="黑体" w:hAnsi="宋体" w:eastAsia="黑体" w:cs="黑体"/>
                <w:color w:val="000000"/>
                <w:sz w:val="28"/>
                <w:szCs w:val="28"/>
              </w:rPr>
            </w:pPr>
            <w:r>
              <w:rPr>
                <w:rFonts w:hint="eastAsia" w:ascii="黑体" w:hAnsi="宋体" w:eastAsia="黑体" w:cs="黑体"/>
                <w:color w:val="000000"/>
                <w:kern w:val="0"/>
                <w:sz w:val="28"/>
                <w:szCs w:val="28"/>
                <w:lang w:bidi="ar"/>
              </w:rPr>
              <w:t>工作机制</w:t>
            </w:r>
          </w:p>
        </w:tc>
        <w:tc>
          <w:tcPr>
            <w:tcW w:w="1985" w:type="dxa"/>
            <w:tcBorders>
              <w:top w:val="single" w:color="000000" w:sz="8" w:space="0"/>
              <w:left w:val="nil"/>
              <w:bottom w:val="single" w:color="auto" w:sz="4" w:space="0"/>
              <w:right w:val="single" w:color="000000" w:sz="8" w:space="0"/>
            </w:tcBorders>
            <w:shd w:val="clear" w:color="auto" w:fill="auto"/>
            <w:vAlign w:val="center"/>
          </w:tcPr>
          <w:p>
            <w:pPr>
              <w:widowControl/>
              <w:jc w:val="center"/>
              <w:textAlignment w:val="center"/>
              <w:rPr>
                <w:rFonts w:ascii="黑体" w:hAnsi="宋体" w:eastAsia="黑体" w:cs="黑体"/>
                <w:color w:val="000000"/>
                <w:sz w:val="28"/>
                <w:szCs w:val="28"/>
              </w:rPr>
            </w:pPr>
            <w:r>
              <w:rPr>
                <w:rFonts w:hint="eastAsia" w:ascii="黑体" w:hAnsi="宋体" w:eastAsia="黑体" w:cs="黑体"/>
                <w:color w:val="000000"/>
                <w:kern w:val="0"/>
                <w:sz w:val="28"/>
                <w:szCs w:val="28"/>
                <w:lang w:bidi="ar"/>
              </w:rPr>
              <w:t>主要举措</w:t>
            </w:r>
          </w:p>
        </w:tc>
        <w:tc>
          <w:tcPr>
            <w:tcW w:w="9174" w:type="dxa"/>
            <w:tcBorders>
              <w:top w:val="single" w:color="000000" w:sz="8" w:space="0"/>
              <w:left w:val="nil"/>
              <w:bottom w:val="single" w:color="000000" w:sz="8" w:space="0"/>
              <w:right w:val="single" w:color="000000" w:sz="8" w:space="0"/>
            </w:tcBorders>
            <w:shd w:val="clear" w:color="auto" w:fill="auto"/>
            <w:vAlign w:val="center"/>
          </w:tcPr>
          <w:p>
            <w:pPr>
              <w:widowControl/>
              <w:jc w:val="center"/>
              <w:textAlignment w:val="center"/>
              <w:rPr>
                <w:rFonts w:ascii="黑体" w:hAnsi="宋体" w:eastAsia="黑体" w:cs="黑体"/>
                <w:color w:val="000000"/>
                <w:sz w:val="28"/>
                <w:szCs w:val="28"/>
              </w:rPr>
            </w:pPr>
            <w:r>
              <w:rPr>
                <w:rFonts w:hint="eastAsia" w:ascii="黑体" w:hAnsi="宋体" w:eastAsia="黑体" w:cs="黑体"/>
                <w:color w:val="000000"/>
                <w:kern w:val="0"/>
                <w:sz w:val="28"/>
                <w:szCs w:val="28"/>
                <w:lang w:bidi="ar"/>
              </w:rPr>
              <w:t>经验做法</w:t>
            </w:r>
          </w:p>
        </w:tc>
      </w:tr>
      <w:tr>
        <w:tblPrEx>
          <w:tblLayout w:type="fixed"/>
          <w:tblCellMar>
            <w:top w:w="0" w:type="dxa"/>
            <w:left w:w="108" w:type="dxa"/>
            <w:bottom w:w="0" w:type="dxa"/>
            <w:right w:w="108" w:type="dxa"/>
          </w:tblCellMar>
        </w:tblPrEx>
        <w:trPr>
          <w:trHeight w:val="1624" w:hRule="atLeast"/>
        </w:trPr>
        <w:tc>
          <w:tcPr>
            <w:tcW w:w="81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黑体" w:hAnsi="黑体" w:eastAsia="黑体" w:cs="黑体"/>
                <w:color w:val="000000"/>
                <w:sz w:val="24"/>
              </w:rPr>
            </w:pPr>
            <w:r>
              <w:rPr>
                <w:rFonts w:hint="eastAsia" w:ascii="黑体" w:hAnsi="黑体" w:eastAsia="黑体" w:cs="黑体"/>
                <w:color w:val="000000"/>
                <w:kern w:val="0"/>
                <w:sz w:val="24"/>
                <w:lang w:bidi="ar"/>
              </w:rPr>
              <w:t>一</w:t>
            </w:r>
          </w:p>
        </w:tc>
        <w:tc>
          <w:tcPr>
            <w:tcW w:w="1470" w:type="dxa"/>
            <w:vMerge w:val="restart"/>
            <w:tcBorders>
              <w:top w:val="single" w:color="000000" w:sz="8" w:space="0"/>
              <w:left w:val="single" w:color="000000" w:sz="8" w:space="0"/>
              <w:bottom w:val="single" w:color="000000" w:sz="8" w:space="0"/>
              <w:right w:val="single" w:color="auto" w:sz="4" w:space="0"/>
            </w:tcBorders>
            <w:shd w:val="clear" w:color="auto" w:fill="auto"/>
            <w:vAlign w:val="center"/>
          </w:tcPr>
          <w:p>
            <w:pPr>
              <w:widowControl/>
              <w:jc w:val="center"/>
              <w:textAlignment w:val="center"/>
              <w:rPr>
                <w:rFonts w:hint="eastAsia" w:ascii="黑体" w:hAnsi="黑体" w:eastAsia="黑体" w:cs="黑体"/>
                <w:color w:val="000000"/>
                <w:sz w:val="24"/>
              </w:rPr>
            </w:pPr>
            <w:r>
              <w:rPr>
                <w:rFonts w:hint="eastAsia" w:ascii="黑体" w:hAnsi="黑体" w:eastAsia="黑体" w:cs="黑体"/>
                <w:color w:val="000000"/>
                <w:kern w:val="0"/>
                <w:sz w:val="24"/>
                <w:lang w:bidi="ar"/>
              </w:rPr>
              <w:t>政策引导</w:t>
            </w:r>
          </w:p>
        </w:tc>
        <w:tc>
          <w:tcPr>
            <w:tcW w:w="198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楷体_GB2312" w:hAnsi="楷体_GB2312" w:eastAsia="楷体_GB2312" w:cs="楷体_GB2312"/>
                <w:b w:val="0"/>
                <w:bCs w:val="0"/>
                <w:color w:val="000000"/>
                <w:sz w:val="24"/>
              </w:rPr>
            </w:pPr>
            <w:r>
              <w:rPr>
                <w:rFonts w:hint="eastAsia" w:ascii="楷体_GB2312" w:hAnsi="楷体_GB2312" w:eastAsia="楷体_GB2312" w:cs="楷体_GB2312"/>
                <w:b w:val="0"/>
                <w:bCs w:val="0"/>
                <w:color w:val="000000"/>
                <w:kern w:val="0"/>
                <w:sz w:val="24"/>
                <w:lang w:bidi="ar"/>
              </w:rPr>
              <w:t>（一）完善顶层设计</w:t>
            </w:r>
          </w:p>
        </w:tc>
        <w:tc>
          <w:tcPr>
            <w:tcW w:w="9174" w:type="dxa"/>
            <w:tcBorders>
              <w:top w:val="single" w:color="000000" w:sz="8" w:space="0"/>
              <w:left w:val="single" w:color="auto" w:sz="4" w:space="0"/>
              <w:bottom w:val="single" w:color="000000" w:sz="4" w:space="0"/>
              <w:right w:val="single" w:color="000000" w:sz="8" w:space="0"/>
            </w:tcBorders>
            <w:shd w:val="clear" w:color="auto" w:fill="auto"/>
            <w:vAlign w:val="center"/>
          </w:tcPr>
          <w:p>
            <w:pPr>
              <w:rPr>
                <w:rFonts w:ascii="仿宋_GB2312" w:hAnsi="仿宋_GB2312" w:eastAsia="仿宋_GB2312" w:cs="仿宋_GB2312"/>
                <w:color w:val="000000"/>
              </w:rPr>
            </w:pPr>
            <w:r>
              <w:rPr>
                <w:rStyle w:val="13"/>
                <w:rFonts w:hint="default" w:ascii="仿宋_GB2312" w:hAnsi="仿宋_GB2312" w:eastAsia="仿宋_GB2312" w:cs="仿宋_GB2312"/>
                <w:lang w:bidi="ar"/>
              </w:rPr>
              <w:t>1.纳入立</w:t>
            </w:r>
            <w:r>
              <w:rPr>
                <w:rStyle w:val="14"/>
                <w:rFonts w:hint="default" w:ascii="仿宋_GB2312" w:hAnsi="仿宋_GB2312" w:eastAsia="仿宋_GB2312" w:cs="仿宋_GB2312"/>
                <w:b/>
                <w:bCs/>
                <w:lang w:bidi="ar"/>
              </w:rPr>
              <w:t>法保障</w:t>
            </w:r>
            <w:r>
              <w:rPr>
                <w:rStyle w:val="13"/>
                <w:rFonts w:hint="default" w:ascii="仿宋_GB2312" w:hAnsi="仿宋_GB2312" w:eastAsia="仿宋_GB2312" w:cs="仿宋_GB2312"/>
                <w:b w:val="0"/>
                <w:bCs w:val="0"/>
              </w:rPr>
              <w:t>。明确将装配式建筑有关要求纳入相关条例，为发展装配式建筑构建立法保障。如</w:t>
            </w:r>
            <w:r>
              <w:rPr>
                <w:rStyle w:val="13"/>
                <w:rFonts w:hint="default" w:ascii="仿宋_GB2312" w:hAnsi="仿宋_GB2312" w:eastAsia="仿宋_GB2312" w:cs="仿宋_GB2312"/>
              </w:rPr>
              <w:t>河北、</w:t>
            </w:r>
            <w:r>
              <w:rPr>
                <w:rStyle w:val="13"/>
                <w:rFonts w:hint="eastAsia" w:ascii="仿宋_GB2312" w:hAnsi="仿宋_GB2312" w:eastAsia="仿宋_GB2312" w:cs="仿宋_GB2312"/>
                <w:lang w:eastAsia="zh-CN"/>
              </w:rPr>
              <w:t>山西、</w:t>
            </w:r>
            <w:r>
              <w:rPr>
                <w:rStyle w:val="13"/>
                <w:rFonts w:hint="default" w:ascii="仿宋_GB2312" w:hAnsi="仿宋_GB2312" w:eastAsia="仿宋_GB2312" w:cs="仿宋_GB2312"/>
              </w:rPr>
              <w:t>安徽、福建、湖南、</w:t>
            </w:r>
            <w:r>
              <w:rPr>
                <w:rStyle w:val="13"/>
                <w:rFonts w:hint="eastAsia" w:ascii="仿宋_GB2312" w:hAnsi="仿宋_GB2312" w:eastAsia="仿宋_GB2312" w:cs="仿宋_GB2312"/>
                <w:lang w:eastAsia="zh-CN"/>
              </w:rPr>
              <w:t>宁夏、广东</w:t>
            </w:r>
            <w:r>
              <w:rPr>
                <w:rStyle w:val="13"/>
                <w:rFonts w:hint="default" w:ascii="仿宋_GB2312" w:hAnsi="仿宋_GB2312" w:eastAsia="仿宋_GB2312" w:cs="仿宋_GB2312"/>
              </w:rPr>
              <w:t>深圳</w:t>
            </w:r>
            <w:r>
              <w:rPr>
                <w:rStyle w:val="13"/>
                <w:rFonts w:hint="eastAsia" w:ascii="仿宋_GB2312" w:hAnsi="仿宋_GB2312" w:eastAsia="仿宋_GB2312" w:cs="仿宋_GB2312"/>
                <w:b w:val="0"/>
                <w:bCs w:val="0"/>
                <w:lang w:eastAsia="zh-CN"/>
              </w:rPr>
              <w:t>在本地绿色建筑发展条例中明确装配式建筑发展要求，其中</w:t>
            </w:r>
            <w:r>
              <w:rPr>
                <w:rFonts w:hint="eastAsia" w:ascii="仿宋_GB2312" w:hAnsi="仿宋_GB2312" w:eastAsia="仿宋_GB2312" w:cs="仿宋_GB2312"/>
                <w:b/>
                <w:sz w:val="24"/>
                <w:szCs w:val="24"/>
              </w:rPr>
              <w:t>河北</w:t>
            </w:r>
            <w:r>
              <w:rPr>
                <w:rFonts w:hint="eastAsia" w:ascii="仿宋_GB2312" w:hAnsi="仿宋_GB2312" w:eastAsia="仿宋_GB2312" w:cs="仿宋_GB2312"/>
                <w:b/>
                <w:sz w:val="24"/>
                <w:szCs w:val="24"/>
                <w:lang w:eastAsia="zh-CN"/>
              </w:rPr>
              <w:t>、福建</w:t>
            </w:r>
            <w:r>
              <w:rPr>
                <w:rFonts w:hint="eastAsia" w:ascii="仿宋_GB2312" w:hAnsi="仿宋_GB2312" w:eastAsia="仿宋_GB2312" w:cs="仿宋_GB2312"/>
                <w:sz w:val="24"/>
                <w:szCs w:val="24"/>
              </w:rPr>
              <w:t>要求绿色建筑专项规划中明确装配式建筑应用</w:t>
            </w:r>
            <w:r>
              <w:rPr>
                <w:rFonts w:hint="eastAsia" w:ascii="仿宋_GB2312" w:hAnsi="仿宋_GB2312" w:eastAsia="仿宋_GB2312" w:cs="仿宋_GB2312"/>
                <w:sz w:val="24"/>
                <w:szCs w:val="24"/>
                <w:lang w:eastAsia="zh-CN"/>
              </w:rPr>
              <w:t>比例；</w:t>
            </w:r>
            <w:r>
              <w:rPr>
                <w:rFonts w:hint="eastAsia" w:ascii="仿宋_GB2312" w:hAnsi="仿宋_GB2312" w:eastAsia="仿宋_GB2312" w:cs="仿宋_GB2312"/>
                <w:b/>
                <w:bCs/>
                <w:sz w:val="24"/>
                <w:szCs w:val="24"/>
                <w:lang w:eastAsia="zh-CN"/>
              </w:rPr>
              <w:t>山西</w:t>
            </w:r>
            <w:r>
              <w:rPr>
                <w:rFonts w:hint="eastAsia" w:ascii="仿宋_GB2312" w:hAnsi="仿宋_GB2312" w:eastAsia="仿宋_GB2312" w:cs="仿宋_GB2312"/>
                <w:sz w:val="24"/>
                <w:szCs w:val="24"/>
                <w:lang w:eastAsia="zh-CN"/>
              </w:rPr>
              <w:t>要求县级以上人民政府应当支持新型建筑工业化全产业链协同发展，推广装配式建筑；</w:t>
            </w:r>
            <w:r>
              <w:rPr>
                <w:rFonts w:hint="eastAsia" w:ascii="仿宋_GB2312" w:hAnsi="仿宋_GB2312" w:eastAsia="仿宋_GB2312" w:cs="仿宋_GB2312"/>
                <w:b/>
                <w:sz w:val="24"/>
                <w:szCs w:val="24"/>
              </w:rPr>
              <w:t>安徽</w:t>
            </w:r>
            <w:r>
              <w:rPr>
                <w:rFonts w:hint="eastAsia" w:ascii="仿宋_GB2312" w:hAnsi="仿宋_GB2312" w:eastAsia="仿宋_GB2312" w:cs="仿宋_GB2312"/>
                <w:sz w:val="24"/>
                <w:szCs w:val="24"/>
              </w:rPr>
              <w:t>要求公共机构办公建筑和政府投资的其他公共建筑应当优先应用装配式建造等新型建筑工业化技术</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b/>
                <w:sz w:val="24"/>
                <w:szCs w:val="24"/>
              </w:rPr>
              <w:t>湖南</w:t>
            </w:r>
            <w:r>
              <w:rPr>
                <w:rFonts w:hint="eastAsia" w:ascii="仿宋_GB2312" w:hAnsi="仿宋_GB2312" w:eastAsia="仿宋_GB2312" w:cs="仿宋_GB2312"/>
                <w:sz w:val="24"/>
                <w:szCs w:val="24"/>
              </w:rPr>
              <w:t>要求建筑面积3000平方米以上的政府投资或者以政府投资为主的公共建筑，以及其他建筑面积2万平方米以上的公共建筑，应当采用装配式建筑方式或者其他绿色建造方式</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b/>
                <w:bCs/>
                <w:sz w:val="24"/>
                <w:szCs w:val="24"/>
              </w:rPr>
              <w:t>宁夏</w:t>
            </w:r>
            <w:r>
              <w:rPr>
                <w:rFonts w:hint="eastAsia" w:ascii="仿宋_GB2312" w:hAnsi="仿宋_GB2312" w:eastAsia="仿宋_GB2312" w:cs="仿宋_GB2312"/>
                <w:sz w:val="24"/>
                <w:szCs w:val="24"/>
              </w:rPr>
              <w:t>要求政府投资的新建建筑应当优先采用装配方式建造</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b/>
                <w:bCs/>
                <w:sz w:val="24"/>
                <w:szCs w:val="24"/>
              </w:rPr>
              <w:t>深</w:t>
            </w:r>
            <w:r>
              <w:rPr>
                <w:rFonts w:hint="eastAsia" w:ascii="仿宋_GB2312" w:hAnsi="仿宋_GB2312" w:eastAsia="仿宋_GB2312" w:cs="仿宋_GB2312"/>
                <w:b/>
                <w:sz w:val="24"/>
                <w:szCs w:val="24"/>
              </w:rPr>
              <w:t>圳</w:t>
            </w:r>
            <w:r>
              <w:rPr>
                <w:rFonts w:hint="eastAsia" w:ascii="仿宋_GB2312" w:hAnsi="仿宋_GB2312" w:eastAsia="仿宋_GB2312" w:cs="仿宋_GB2312"/>
                <w:sz w:val="24"/>
                <w:szCs w:val="24"/>
              </w:rPr>
              <w:t>提出在建设用地规划条件中明确绿色建筑等级、装配式等新型建筑工业化建造方式的要求。</w:t>
            </w:r>
          </w:p>
        </w:tc>
      </w:tr>
      <w:tr>
        <w:tblPrEx>
          <w:tblLayout w:type="fixed"/>
        </w:tblPrEx>
        <w:trPr>
          <w:trHeight w:val="1683" w:hRule="atLeast"/>
        </w:trPr>
        <w:tc>
          <w:tcPr>
            <w:tcW w:w="81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黑体" w:hAnsi="黑体" w:eastAsia="黑体" w:cs="黑体"/>
                <w:color w:val="000000"/>
                <w:sz w:val="24"/>
              </w:rPr>
            </w:pPr>
          </w:p>
        </w:tc>
        <w:tc>
          <w:tcPr>
            <w:tcW w:w="1470" w:type="dxa"/>
            <w:vMerge w:val="continue"/>
            <w:tcBorders>
              <w:top w:val="single" w:color="000000" w:sz="8" w:space="0"/>
              <w:left w:val="single" w:color="000000" w:sz="8" w:space="0"/>
              <w:bottom w:val="single" w:color="000000" w:sz="8" w:space="0"/>
              <w:right w:val="single" w:color="auto" w:sz="4" w:space="0"/>
            </w:tcBorders>
            <w:shd w:val="clear" w:color="auto" w:fill="auto"/>
            <w:vAlign w:val="center"/>
          </w:tcPr>
          <w:p>
            <w:pPr>
              <w:jc w:val="center"/>
              <w:rPr>
                <w:rFonts w:hint="eastAsia" w:ascii="黑体" w:hAnsi="黑体" w:eastAsia="黑体" w:cs="黑体"/>
                <w:color w:val="000000"/>
                <w:sz w:val="24"/>
              </w:rPr>
            </w:pPr>
          </w:p>
        </w:tc>
        <w:tc>
          <w:tcPr>
            <w:tcW w:w="198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楷体_GB2312" w:hAnsi="楷体_GB2312" w:eastAsia="楷体_GB2312" w:cs="楷体_GB2312"/>
                <w:b w:val="0"/>
                <w:bCs w:val="0"/>
                <w:color w:val="000000"/>
                <w:sz w:val="24"/>
              </w:rPr>
            </w:pPr>
          </w:p>
        </w:tc>
        <w:tc>
          <w:tcPr>
            <w:tcW w:w="9174" w:type="dxa"/>
            <w:tcBorders>
              <w:top w:val="single" w:color="000000" w:sz="4" w:space="0"/>
              <w:left w:val="single" w:color="auto" w:sz="4" w:space="0"/>
              <w:bottom w:val="single" w:color="000000" w:sz="4" w:space="0"/>
              <w:right w:val="single" w:color="000000" w:sz="8" w:space="0"/>
            </w:tcBorders>
            <w:shd w:val="clear" w:color="auto" w:fill="auto"/>
            <w:vAlign w:val="center"/>
          </w:tcPr>
          <w:p>
            <w:pPr>
              <w:widowControl/>
              <w:textAlignment w:val="center"/>
              <w:rPr>
                <w:rFonts w:ascii="仿宋_GB2312" w:hAnsi="仿宋_GB2312" w:eastAsia="仿宋_GB2312" w:cs="仿宋_GB2312"/>
                <w:color w:val="000000"/>
                <w:sz w:val="24"/>
              </w:rPr>
            </w:pPr>
            <w:r>
              <w:rPr>
                <w:rStyle w:val="13"/>
                <w:rFonts w:hint="default" w:ascii="仿宋_GB2312" w:hAnsi="仿宋_GB2312" w:eastAsia="仿宋_GB2312" w:cs="仿宋_GB2312"/>
                <w:lang w:bidi="ar"/>
              </w:rPr>
              <w:t>2.强化政府推动。</w:t>
            </w:r>
            <w:r>
              <w:rPr>
                <w:rFonts w:hint="eastAsia" w:ascii="仿宋_GB2312" w:hAnsi="仿宋_GB2312" w:eastAsia="仿宋_GB2312" w:cs="仿宋_GB2312"/>
                <w:color w:val="000000"/>
                <w:kern w:val="0"/>
                <w:sz w:val="24"/>
                <w:lang w:bidi="ar"/>
              </w:rPr>
              <w:t>省</w:t>
            </w:r>
            <w:r>
              <w:rPr>
                <w:rStyle w:val="14"/>
                <w:rFonts w:hint="default" w:ascii="仿宋_GB2312" w:hAnsi="仿宋_GB2312" w:eastAsia="仿宋_GB2312" w:cs="仿宋_GB2312"/>
                <w:lang w:bidi="ar"/>
              </w:rPr>
              <w:t>级人民政府制定发展装配式建筑相关政策文件和规划，明确发展目标、重点任务和保障措施，成立</w:t>
            </w:r>
            <w:r>
              <w:rPr>
                <w:rFonts w:hint="eastAsia" w:ascii="仿宋_GB2312" w:hAnsi="仿宋_GB2312" w:eastAsia="仿宋_GB2312" w:cs="仿宋_GB2312"/>
                <w:color w:val="000000"/>
                <w:kern w:val="0"/>
                <w:sz w:val="24"/>
                <w:lang w:bidi="ar"/>
              </w:rPr>
              <w:t>省</w:t>
            </w:r>
            <w:r>
              <w:rPr>
                <w:rStyle w:val="14"/>
                <w:rFonts w:hint="default" w:ascii="仿宋_GB2312" w:hAnsi="仿宋_GB2312" w:eastAsia="仿宋_GB2312" w:cs="仿宋_GB2312"/>
                <w:lang w:bidi="ar"/>
              </w:rPr>
              <w:t>级主要领导任组长的装配式建筑工作领导小组，建立多部门共同推进的工作机制。如</w:t>
            </w:r>
            <w:r>
              <w:rPr>
                <w:rStyle w:val="14"/>
                <w:rFonts w:hint="default" w:ascii="仿宋_GB2312" w:hAnsi="仿宋_GB2312" w:eastAsia="仿宋_GB2312" w:cs="仿宋_GB2312"/>
                <w:b/>
                <w:bCs/>
                <w:lang w:bidi="ar"/>
              </w:rPr>
              <w:t>海南</w:t>
            </w:r>
            <w:r>
              <w:rPr>
                <w:rStyle w:val="14"/>
                <w:rFonts w:hint="default" w:ascii="仿宋_GB2312" w:hAnsi="仿宋_GB2312" w:eastAsia="仿宋_GB2312" w:cs="仿宋_GB2312"/>
                <w:lang w:bidi="ar"/>
              </w:rPr>
              <w:t>于2017年和2020年分别以省政府和省政府办公厅名义出台发展装配式建筑的政策文件，并</w:t>
            </w:r>
            <w:r>
              <w:rPr>
                <w:rStyle w:val="13"/>
                <w:rFonts w:hint="default" w:ascii="仿宋_GB2312" w:hAnsi="仿宋_GB2312" w:eastAsia="仿宋_GB2312" w:cs="仿宋_GB2312"/>
                <w:b w:val="0"/>
                <w:bCs w:val="0"/>
                <w:lang w:bidi="ar"/>
              </w:rPr>
              <w:t>将</w:t>
            </w:r>
            <w:r>
              <w:rPr>
                <w:rStyle w:val="13"/>
                <w:rFonts w:hint="eastAsia" w:ascii="仿宋_GB2312" w:hAnsi="仿宋_GB2312" w:eastAsia="仿宋_GB2312" w:cs="仿宋_GB2312"/>
                <w:b w:val="0"/>
                <w:bCs w:val="0"/>
                <w:lang w:eastAsia="zh-CN" w:bidi="ar"/>
              </w:rPr>
              <w:t>发展</w:t>
            </w:r>
            <w:r>
              <w:rPr>
                <w:rStyle w:val="13"/>
                <w:rFonts w:hint="default" w:ascii="仿宋_GB2312" w:hAnsi="仿宋_GB2312" w:eastAsia="仿宋_GB2312" w:cs="仿宋_GB2312"/>
                <w:b w:val="0"/>
                <w:bCs w:val="0"/>
                <w:lang w:bidi="ar"/>
              </w:rPr>
              <w:t>装配式建筑列入海南建设国家生态文明试验区的四大标志性工程之一，有力地推动了装配式建筑快速发展。</w:t>
            </w:r>
          </w:p>
        </w:tc>
      </w:tr>
      <w:tr>
        <w:tblPrEx>
          <w:tblLayout w:type="fixed"/>
          <w:tblCellMar>
            <w:top w:w="0" w:type="dxa"/>
            <w:left w:w="108" w:type="dxa"/>
            <w:bottom w:w="0" w:type="dxa"/>
            <w:right w:w="108" w:type="dxa"/>
          </w:tblCellMar>
        </w:tblPrEx>
        <w:trPr>
          <w:trHeight w:val="1404" w:hRule="atLeast"/>
        </w:trPr>
        <w:tc>
          <w:tcPr>
            <w:tcW w:w="81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黑体" w:hAnsi="黑体" w:eastAsia="黑体" w:cs="黑体"/>
                <w:color w:val="000000"/>
                <w:sz w:val="24"/>
              </w:rPr>
            </w:pPr>
          </w:p>
        </w:tc>
        <w:tc>
          <w:tcPr>
            <w:tcW w:w="147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黑体" w:hAnsi="黑体" w:eastAsia="黑体" w:cs="黑体"/>
                <w:color w:val="000000"/>
                <w:sz w:val="24"/>
              </w:rPr>
            </w:pPr>
          </w:p>
        </w:tc>
        <w:tc>
          <w:tcPr>
            <w:tcW w:w="1985" w:type="dxa"/>
            <w:vMerge w:val="restart"/>
            <w:tcBorders>
              <w:top w:val="single" w:color="auto" w:sz="4" w:space="0"/>
              <w:left w:val="single" w:color="000000" w:sz="8" w:space="0"/>
              <w:bottom w:val="single" w:color="auto" w:sz="4" w:space="0"/>
              <w:right w:val="single" w:color="000000" w:sz="8" w:space="0"/>
            </w:tcBorders>
            <w:shd w:val="clear" w:color="auto" w:fill="auto"/>
            <w:vAlign w:val="center"/>
          </w:tcPr>
          <w:p>
            <w:pPr>
              <w:widowControl/>
              <w:jc w:val="center"/>
              <w:textAlignment w:val="center"/>
              <w:rPr>
                <w:rFonts w:hint="eastAsia" w:ascii="楷体_GB2312" w:hAnsi="楷体_GB2312" w:eastAsia="楷体_GB2312" w:cs="楷体_GB2312"/>
                <w:b w:val="0"/>
                <w:bCs w:val="0"/>
                <w:color w:val="000000"/>
                <w:sz w:val="24"/>
              </w:rPr>
            </w:pPr>
            <w:r>
              <w:rPr>
                <w:rFonts w:hint="eastAsia" w:ascii="楷体_GB2312" w:hAnsi="楷体_GB2312" w:eastAsia="楷体_GB2312" w:cs="楷体_GB2312"/>
                <w:b w:val="0"/>
                <w:bCs w:val="0"/>
                <w:color w:val="000000"/>
                <w:kern w:val="0"/>
                <w:sz w:val="24"/>
                <w:lang w:bidi="ar"/>
              </w:rPr>
              <w:t>（二）强化政策激励</w:t>
            </w:r>
          </w:p>
        </w:tc>
        <w:tc>
          <w:tcPr>
            <w:tcW w:w="9174" w:type="dxa"/>
            <w:tcBorders>
              <w:top w:val="single" w:color="000000" w:sz="8" w:space="0"/>
              <w:left w:val="single" w:color="000000" w:sz="8" w:space="0"/>
              <w:bottom w:val="single" w:color="000000" w:sz="4" w:space="0"/>
              <w:right w:val="single" w:color="000000" w:sz="8" w:space="0"/>
            </w:tcBorders>
            <w:shd w:val="clear" w:color="auto" w:fill="auto"/>
            <w:vAlign w:val="center"/>
          </w:tcPr>
          <w:p>
            <w:pPr>
              <w:keepNext w:val="0"/>
              <w:pageBreakBefore w:val="0"/>
              <w:widowControl/>
              <w:kinsoku/>
              <w:wordWrap/>
              <w:overflowPunct/>
              <w:topLinePunct w:val="0"/>
              <w:autoSpaceDE/>
              <w:autoSpaceDN/>
              <w:bidi w:val="0"/>
              <w:adjustRightInd/>
              <w:snapToGrid w:val="0"/>
              <w:textAlignment w:val="center"/>
              <w:outlineLvl w:val="9"/>
              <w:rPr>
                <w:rFonts w:ascii="仿宋_GB2312" w:hAnsi="仿宋_GB2312" w:eastAsia="仿宋_GB2312" w:cs="仿宋_GB2312"/>
                <w:color w:val="000000"/>
                <w:sz w:val="24"/>
              </w:rPr>
            </w:pPr>
            <w:r>
              <w:rPr>
                <w:rStyle w:val="13"/>
                <w:rFonts w:hint="default" w:ascii="仿宋_GB2312" w:hAnsi="仿宋_GB2312" w:eastAsia="仿宋_GB2312" w:cs="仿宋_GB2312"/>
                <w:lang w:bidi="ar"/>
              </w:rPr>
              <w:t>1.土地保障。</w:t>
            </w:r>
            <w:r>
              <w:rPr>
                <w:rStyle w:val="14"/>
                <w:rFonts w:hint="default" w:ascii="仿宋_GB2312" w:hAnsi="仿宋_GB2312" w:eastAsia="仿宋_GB2312" w:cs="仿宋_GB2312"/>
                <w:bCs/>
              </w:rPr>
              <w:t>以土地源头控制为抓手</w:t>
            </w:r>
            <w:r>
              <w:rPr>
                <w:rStyle w:val="14"/>
                <w:rFonts w:hint="default" w:ascii="仿宋_GB2312" w:hAnsi="仿宋_GB2312" w:eastAsia="仿宋_GB2312" w:cs="仿宋_GB2312"/>
                <w:lang w:bidi="ar"/>
              </w:rPr>
              <w:t>，将装配式建筑的实施要求纳入供地方案，在土地出让公告中予以明确,并落实到土地使用合同中，确保装配式建筑项目落地。如</w:t>
            </w:r>
            <w:r>
              <w:rPr>
                <w:rStyle w:val="14"/>
                <w:rFonts w:hint="eastAsia" w:ascii="仿宋_GB2312" w:hAnsi="仿宋_GB2312" w:eastAsia="仿宋_GB2312" w:cs="仿宋_GB2312"/>
                <w:b/>
                <w:bCs/>
                <w:lang w:eastAsia="zh-CN" w:bidi="ar"/>
              </w:rPr>
              <w:t>天津、</w:t>
            </w:r>
            <w:r>
              <w:rPr>
                <w:rStyle w:val="14"/>
                <w:rFonts w:hint="default" w:ascii="仿宋_GB2312" w:hAnsi="仿宋_GB2312" w:eastAsia="仿宋_GB2312" w:cs="仿宋_GB2312"/>
                <w:b/>
                <w:bCs/>
                <w:lang w:bidi="ar"/>
              </w:rPr>
              <w:t>上海</w:t>
            </w:r>
            <w:r>
              <w:rPr>
                <w:rStyle w:val="14"/>
                <w:rFonts w:hint="eastAsia" w:ascii="仿宋_GB2312" w:hAnsi="仿宋_GB2312" w:eastAsia="仿宋_GB2312" w:cs="仿宋_GB2312"/>
                <w:b w:val="0"/>
                <w:bCs w:val="0"/>
                <w:lang w:eastAsia="zh-CN" w:bidi="ar"/>
              </w:rPr>
              <w:t>等地</w:t>
            </w:r>
            <w:r>
              <w:rPr>
                <w:rStyle w:val="14"/>
                <w:rFonts w:hint="default" w:ascii="仿宋_GB2312" w:hAnsi="仿宋_GB2312" w:eastAsia="仿宋_GB2312" w:cs="仿宋_GB2312"/>
                <w:lang w:bidi="ar"/>
              </w:rPr>
              <w:t>通过将装配式建筑建设要求写入土地出让合同，并纳入建管审批流程进行把关，实现装配式建筑实施比例和单体预制装配指标双控。</w:t>
            </w:r>
          </w:p>
        </w:tc>
      </w:tr>
      <w:tr>
        <w:tblPrEx>
          <w:tblLayout w:type="fixed"/>
          <w:tblCellMar>
            <w:top w:w="0" w:type="dxa"/>
            <w:left w:w="108" w:type="dxa"/>
            <w:bottom w:w="0" w:type="dxa"/>
            <w:right w:w="108" w:type="dxa"/>
          </w:tblCellMar>
        </w:tblPrEx>
        <w:trPr>
          <w:trHeight w:val="3061" w:hRule="atLeast"/>
        </w:trPr>
        <w:tc>
          <w:tcPr>
            <w:tcW w:w="81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黑体" w:hAnsi="黑体" w:eastAsia="黑体" w:cs="黑体"/>
                <w:color w:val="000000"/>
                <w:sz w:val="24"/>
              </w:rPr>
            </w:pPr>
          </w:p>
        </w:tc>
        <w:tc>
          <w:tcPr>
            <w:tcW w:w="147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黑体" w:hAnsi="黑体" w:eastAsia="黑体" w:cs="黑体"/>
                <w:color w:val="000000"/>
                <w:sz w:val="24"/>
              </w:rPr>
            </w:pPr>
          </w:p>
        </w:tc>
        <w:tc>
          <w:tcPr>
            <w:tcW w:w="1985" w:type="dxa"/>
            <w:vMerge w:val="continue"/>
            <w:tcBorders>
              <w:top w:val="single" w:color="auto" w:sz="4" w:space="0"/>
              <w:left w:val="single" w:color="000000" w:sz="8" w:space="0"/>
              <w:bottom w:val="single" w:color="auto" w:sz="4" w:space="0"/>
              <w:right w:val="single" w:color="000000" w:sz="8" w:space="0"/>
            </w:tcBorders>
            <w:shd w:val="clear" w:color="auto" w:fill="auto"/>
            <w:vAlign w:val="center"/>
          </w:tcPr>
          <w:p>
            <w:pPr>
              <w:jc w:val="center"/>
              <w:rPr>
                <w:rFonts w:hint="eastAsia" w:ascii="楷体_GB2312" w:hAnsi="楷体_GB2312" w:eastAsia="楷体_GB2312" w:cs="楷体_GB2312"/>
                <w:b w:val="0"/>
                <w:bCs w:val="0"/>
                <w:color w:val="000000"/>
                <w:sz w:val="24"/>
              </w:rPr>
            </w:pPr>
          </w:p>
        </w:tc>
        <w:tc>
          <w:tcPr>
            <w:tcW w:w="9174" w:type="dxa"/>
            <w:tcBorders>
              <w:top w:val="single" w:color="000000" w:sz="4" w:space="0"/>
              <w:left w:val="single" w:color="000000" w:sz="8" w:space="0"/>
              <w:bottom w:val="single" w:color="000000" w:sz="4" w:space="0"/>
              <w:right w:val="single" w:color="000000" w:sz="8" w:space="0"/>
            </w:tcBorders>
            <w:shd w:val="clear" w:color="auto" w:fill="auto"/>
            <w:vAlign w:val="center"/>
          </w:tcPr>
          <w:p>
            <w:pPr>
              <w:keepNext w:val="0"/>
              <w:keepLines/>
              <w:pageBreakBefore w:val="0"/>
              <w:widowControl/>
              <w:numPr>
                <w:ilvl w:val="0"/>
                <w:numId w:val="0"/>
              </w:numPr>
              <w:kinsoku/>
              <w:wordWrap/>
              <w:overflowPunct/>
              <w:topLinePunct w:val="0"/>
              <w:autoSpaceDE/>
              <w:autoSpaceDN/>
              <w:bidi w:val="0"/>
              <w:adjustRightInd/>
              <w:snapToGrid w:val="0"/>
              <w:jc w:val="both"/>
              <w:textAlignment w:val="center"/>
              <w:outlineLvl w:val="9"/>
            </w:pPr>
            <w:r>
              <w:rPr>
                <w:rFonts w:hint="eastAsia" w:ascii="仿宋_GB2312" w:hAnsi="仿宋_GB2312" w:eastAsia="仿宋_GB2312" w:cs="仿宋_GB2312"/>
                <w:b/>
                <w:bCs/>
                <w:sz w:val="24"/>
                <w:szCs w:val="24"/>
                <w:lang w:val="en-US" w:eastAsia="zh-CN"/>
              </w:rPr>
              <w:t>2.</w:t>
            </w:r>
            <w:r>
              <w:rPr>
                <w:rFonts w:hint="eastAsia" w:ascii="仿宋_GB2312" w:hAnsi="仿宋_GB2312" w:eastAsia="仿宋_GB2312" w:cs="仿宋_GB2312"/>
                <w:b/>
                <w:bCs/>
                <w:sz w:val="24"/>
                <w:szCs w:val="24"/>
              </w:rPr>
              <w:t>财政奖励和金融支持。</w:t>
            </w:r>
            <w:r>
              <w:rPr>
                <w:rFonts w:hint="eastAsia" w:ascii="仿宋_GB2312" w:hAnsi="仿宋_GB2312" w:eastAsia="仿宋_GB2312" w:cs="仿宋_GB2312"/>
                <w:sz w:val="24"/>
                <w:szCs w:val="24"/>
              </w:rPr>
              <w:t>通过设立装配式建筑专项资金，对符合条件的项目、基地企业予以奖补，或将装配式建筑纳入绿色金融重点支持范围，有效激发市场积极性。如</w:t>
            </w:r>
            <w:r>
              <w:rPr>
                <w:rFonts w:hint="eastAsia" w:ascii="仿宋_GB2312" w:hAnsi="仿宋_GB2312" w:eastAsia="仿宋_GB2312" w:cs="仿宋_GB2312"/>
                <w:b/>
                <w:bCs/>
                <w:sz w:val="24"/>
                <w:szCs w:val="24"/>
              </w:rPr>
              <w:t>山东</w:t>
            </w:r>
            <w:r>
              <w:rPr>
                <w:rFonts w:hint="eastAsia" w:ascii="仿宋_GB2312" w:hAnsi="仿宋_GB2312" w:eastAsia="仿宋_GB2312" w:cs="仿宋_GB2312"/>
                <w:sz w:val="24"/>
                <w:szCs w:val="24"/>
              </w:rPr>
              <w:t>累计投入省级财政资金1.44亿元，对省级装配式建筑示范城市、示范工程、产业基地给予奖励</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b/>
                <w:bCs/>
                <w:sz w:val="24"/>
                <w:szCs w:val="24"/>
              </w:rPr>
              <w:t>河南</w:t>
            </w:r>
            <w:r>
              <w:rPr>
                <w:rFonts w:hint="eastAsia" w:ascii="仿宋_GB2312" w:hAnsi="仿宋_GB2312" w:eastAsia="仿宋_GB2312" w:cs="仿宋_GB2312"/>
                <w:sz w:val="24"/>
                <w:szCs w:val="24"/>
              </w:rPr>
              <w:t>给予装配率达到50%的社会投资项目不超过20元/㎡的奖补，达到60%的给</w:t>
            </w:r>
            <w:r>
              <w:rPr>
                <w:rFonts w:hint="eastAsia" w:ascii="仿宋_GB2312" w:hAnsi="仿宋_GB2312" w:eastAsia="仿宋_GB2312" w:cs="仿宋_GB2312"/>
                <w:sz w:val="24"/>
                <w:szCs w:val="24"/>
                <w:lang w:eastAsia="zh-CN"/>
              </w:rPr>
              <w:t>予</w:t>
            </w:r>
            <w:r>
              <w:rPr>
                <w:rFonts w:hint="eastAsia" w:ascii="仿宋_GB2312" w:hAnsi="仿宋_GB2312" w:eastAsia="仿宋_GB2312" w:cs="仿宋_GB2312"/>
                <w:sz w:val="24"/>
                <w:szCs w:val="24"/>
              </w:rPr>
              <w:t>不超过30元/㎡的奖补，单项奖补不超过300万元，已累计争取1.5亿元省级财政专项奖补资金</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b/>
                <w:bCs/>
                <w:sz w:val="24"/>
                <w:szCs w:val="24"/>
              </w:rPr>
              <w:t>山西</w:t>
            </w:r>
            <w:r>
              <w:rPr>
                <w:rFonts w:hint="eastAsia" w:ascii="仿宋_GB2312" w:hAnsi="仿宋_GB2312" w:eastAsia="仿宋_GB2312" w:cs="仿宋_GB2312"/>
                <w:sz w:val="24"/>
                <w:szCs w:val="24"/>
                <w:lang w:val="en-US" w:eastAsia="zh-CN"/>
              </w:rPr>
              <w:t>2021年</w:t>
            </w:r>
            <w:r>
              <w:rPr>
                <w:rFonts w:hint="eastAsia" w:ascii="仿宋_GB2312" w:hAnsi="仿宋_GB2312" w:eastAsia="仿宋_GB2312" w:cs="仿宋_GB2312"/>
                <w:sz w:val="24"/>
                <w:szCs w:val="24"/>
              </w:rPr>
              <w:t>争取5052万元财政专项资金，对近三年实施的8个高标准装配式居</w:t>
            </w:r>
            <w:r>
              <w:rPr>
                <w:rFonts w:hint="eastAsia" w:ascii="仿宋_GB2312" w:hAnsi="仿宋_GB2312" w:eastAsia="仿宋_GB2312" w:cs="仿宋_GB2312"/>
                <w:sz w:val="24"/>
                <w:szCs w:val="24"/>
                <w:lang w:eastAsia="zh-CN"/>
              </w:rPr>
              <w:t>住</w:t>
            </w:r>
            <w:r>
              <w:rPr>
                <w:rFonts w:hint="eastAsia" w:ascii="仿宋_GB2312" w:hAnsi="仿宋_GB2312" w:eastAsia="仿宋_GB2312" w:cs="仿宋_GB2312"/>
                <w:sz w:val="24"/>
                <w:szCs w:val="24"/>
              </w:rPr>
              <w:t>建</w:t>
            </w:r>
            <w:r>
              <w:rPr>
                <w:rFonts w:hint="eastAsia" w:ascii="仿宋_GB2312" w:hAnsi="仿宋_GB2312" w:eastAsia="仿宋_GB2312" w:cs="仿宋_GB2312"/>
                <w:sz w:val="24"/>
                <w:szCs w:val="24"/>
                <w:lang w:eastAsia="zh-CN"/>
              </w:rPr>
              <w:t>筑</w:t>
            </w:r>
            <w:r>
              <w:rPr>
                <w:rFonts w:hint="eastAsia" w:ascii="仿宋_GB2312" w:hAnsi="仿宋_GB2312" w:eastAsia="仿宋_GB2312" w:cs="仿宋_GB2312"/>
                <w:sz w:val="24"/>
                <w:szCs w:val="24"/>
              </w:rPr>
              <w:t>项目进行奖补</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b/>
                <w:bCs/>
                <w:sz w:val="24"/>
                <w:szCs w:val="24"/>
              </w:rPr>
              <w:t>福建</w:t>
            </w:r>
            <w:r>
              <w:rPr>
                <w:rFonts w:hint="eastAsia" w:ascii="仿宋_GB2312" w:hAnsi="仿宋_GB2312" w:eastAsia="仿宋_GB2312" w:cs="仿宋_GB2312"/>
                <w:sz w:val="24"/>
                <w:szCs w:val="24"/>
              </w:rPr>
              <w:t>对试点项目，按照地上部分建筑面积，给予100～300元/㎡的造价</w:t>
            </w:r>
            <w:r>
              <w:rPr>
                <w:rFonts w:hint="eastAsia" w:ascii="仿宋_GB2312" w:hAnsi="仿宋_GB2312" w:eastAsia="仿宋_GB2312" w:cs="仿宋_GB2312"/>
                <w:sz w:val="24"/>
                <w:szCs w:val="24"/>
                <w:lang w:eastAsia="zh-CN"/>
              </w:rPr>
              <w:t>补贴；</w:t>
            </w:r>
            <w:r>
              <w:rPr>
                <w:rFonts w:hint="eastAsia" w:ascii="仿宋_GB2312" w:hAnsi="仿宋_GB2312" w:eastAsia="仿宋_GB2312" w:cs="仿宋_GB2312"/>
                <w:b/>
                <w:bCs/>
                <w:sz w:val="24"/>
                <w:szCs w:val="24"/>
                <w:lang w:eastAsia="zh-CN"/>
              </w:rPr>
              <w:t>安徽</w:t>
            </w:r>
            <w:r>
              <w:rPr>
                <w:rFonts w:hint="eastAsia" w:ascii="仿宋_GB2312" w:hAnsi="仿宋_GB2312" w:eastAsia="仿宋_GB2312" w:cs="仿宋_GB2312"/>
                <w:b/>
                <w:bCs/>
                <w:sz w:val="24"/>
                <w:szCs w:val="24"/>
              </w:rPr>
              <w:t>合肥</w:t>
            </w:r>
            <w:r>
              <w:rPr>
                <w:rFonts w:hint="eastAsia" w:ascii="仿宋_GB2312" w:hAnsi="仿宋_GB2312" w:eastAsia="仿宋_GB2312" w:cs="仿宋_GB2312"/>
                <w:sz w:val="24"/>
                <w:szCs w:val="24"/>
              </w:rPr>
              <w:t>对县区投资的装配式保障性住房（含农房）给予奖补，2021年以来发放奖补资金2.06亿元。</w:t>
            </w:r>
          </w:p>
        </w:tc>
      </w:tr>
      <w:tr>
        <w:tblPrEx>
          <w:tblLayout w:type="fixed"/>
          <w:tblCellMar>
            <w:top w:w="0" w:type="dxa"/>
            <w:left w:w="108" w:type="dxa"/>
            <w:bottom w:w="0" w:type="dxa"/>
            <w:right w:w="108" w:type="dxa"/>
          </w:tblCellMar>
        </w:tblPrEx>
        <w:trPr>
          <w:trHeight w:val="845" w:hRule="atLeast"/>
        </w:trPr>
        <w:tc>
          <w:tcPr>
            <w:tcW w:w="81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黑体" w:hAnsi="黑体" w:eastAsia="黑体" w:cs="黑体"/>
                <w:color w:val="000000"/>
                <w:sz w:val="24"/>
              </w:rPr>
            </w:pPr>
          </w:p>
        </w:tc>
        <w:tc>
          <w:tcPr>
            <w:tcW w:w="147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黑体" w:hAnsi="黑体" w:eastAsia="黑体" w:cs="黑体"/>
                <w:color w:val="000000"/>
                <w:sz w:val="24"/>
              </w:rPr>
            </w:pPr>
          </w:p>
        </w:tc>
        <w:tc>
          <w:tcPr>
            <w:tcW w:w="1985" w:type="dxa"/>
            <w:vMerge w:val="continue"/>
            <w:tcBorders>
              <w:top w:val="single" w:color="auto" w:sz="4" w:space="0"/>
              <w:left w:val="single" w:color="000000" w:sz="8" w:space="0"/>
              <w:bottom w:val="single" w:color="auto" w:sz="4" w:space="0"/>
              <w:right w:val="single" w:color="000000" w:sz="8" w:space="0"/>
            </w:tcBorders>
            <w:shd w:val="clear" w:color="auto" w:fill="auto"/>
            <w:vAlign w:val="center"/>
          </w:tcPr>
          <w:p>
            <w:pPr>
              <w:jc w:val="center"/>
              <w:rPr>
                <w:rFonts w:hint="eastAsia" w:ascii="楷体_GB2312" w:hAnsi="楷体_GB2312" w:eastAsia="楷体_GB2312" w:cs="楷体_GB2312"/>
                <w:b w:val="0"/>
                <w:bCs w:val="0"/>
                <w:color w:val="000000"/>
                <w:sz w:val="24"/>
              </w:rPr>
            </w:pPr>
          </w:p>
        </w:tc>
        <w:tc>
          <w:tcPr>
            <w:tcW w:w="9174" w:type="dxa"/>
            <w:tcBorders>
              <w:top w:val="single" w:color="000000" w:sz="4" w:space="0"/>
              <w:left w:val="single" w:color="000000" w:sz="8" w:space="0"/>
              <w:bottom w:val="single" w:color="000000" w:sz="4" w:space="0"/>
              <w:right w:val="single" w:color="000000" w:sz="8" w:space="0"/>
            </w:tcBorders>
            <w:shd w:val="clear" w:color="auto" w:fill="auto"/>
            <w:vAlign w:val="center"/>
          </w:tcPr>
          <w:p>
            <w:pPr>
              <w:widowControl/>
              <w:textAlignment w:val="center"/>
              <w:rPr>
                <w:rFonts w:ascii="仿宋_GB2312" w:hAnsi="仿宋_GB2312" w:eastAsia="仿宋_GB2312" w:cs="仿宋_GB2312"/>
                <w:color w:val="0000FF"/>
                <w:sz w:val="24"/>
              </w:rPr>
            </w:pPr>
            <w:r>
              <w:rPr>
                <w:rStyle w:val="13"/>
                <w:rFonts w:hint="default" w:ascii="仿宋_GB2312" w:hAnsi="仿宋_GB2312" w:eastAsia="仿宋_GB2312" w:cs="仿宋_GB2312"/>
                <w:color w:val="auto"/>
                <w:lang w:bidi="ar"/>
              </w:rPr>
              <w:t>3.面积奖励和提前预售。</w:t>
            </w:r>
            <w:r>
              <w:rPr>
                <w:rStyle w:val="14"/>
                <w:rFonts w:hint="default" w:ascii="仿宋_GB2312" w:hAnsi="仿宋_GB2312" w:eastAsia="仿宋_GB2312" w:cs="仿宋_GB2312"/>
                <w:color w:val="auto"/>
                <w:lang w:bidi="ar"/>
              </w:rPr>
              <w:t>对社会投资的商品房项目，</w:t>
            </w:r>
            <w:r>
              <w:rPr>
                <w:rStyle w:val="14"/>
                <w:rFonts w:hint="eastAsia" w:ascii="仿宋_GB2312" w:hAnsi="仿宋_GB2312" w:eastAsia="仿宋_GB2312" w:cs="仿宋_GB2312"/>
                <w:color w:val="auto"/>
                <w:lang w:eastAsia="zh-CN" w:bidi="ar"/>
              </w:rPr>
              <w:t>采用装配式建造方式的，给予面积奖励和提前预售政策，有效提高</w:t>
            </w:r>
            <w:r>
              <w:rPr>
                <w:rStyle w:val="14"/>
                <w:rFonts w:hint="default" w:ascii="仿宋_GB2312" w:hAnsi="仿宋_GB2312" w:eastAsia="仿宋_GB2312" w:cs="仿宋_GB2312"/>
                <w:color w:val="auto"/>
                <w:lang w:bidi="ar"/>
              </w:rPr>
              <w:t>房地产开发商积极性。</w:t>
            </w:r>
            <w:r>
              <w:rPr>
                <w:rStyle w:val="14"/>
                <w:rFonts w:hint="eastAsia" w:ascii="仿宋_GB2312" w:hAnsi="仿宋_GB2312" w:eastAsia="仿宋_GB2312" w:cs="仿宋_GB2312"/>
                <w:color w:val="auto"/>
                <w:lang w:eastAsia="zh-CN" w:bidi="ar"/>
              </w:rPr>
              <w:t>如</w:t>
            </w:r>
            <w:r>
              <w:rPr>
                <w:rStyle w:val="14"/>
                <w:rFonts w:hint="default" w:ascii="仿宋_GB2312" w:hAnsi="仿宋_GB2312" w:eastAsia="仿宋_GB2312" w:cs="仿宋_GB2312"/>
                <w:b/>
                <w:color w:val="auto"/>
                <w:lang w:bidi="ar"/>
              </w:rPr>
              <w:t>广东中山</w:t>
            </w:r>
            <w:r>
              <w:rPr>
                <w:rStyle w:val="14"/>
                <w:rFonts w:ascii="仿宋_GB2312" w:hAnsi="仿宋_GB2312" w:eastAsia="仿宋_GB2312" w:cs="仿宋_GB2312"/>
                <w:color w:val="auto"/>
                <w:lang w:bidi="ar"/>
              </w:rPr>
              <w:t>对符合条件</w:t>
            </w:r>
            <w:r>
              <w:rPr>
                <w:rStyle w:val="14"/>
                <w:rFonts w:ascii="仿宋_GB2312" w:hAnsi="仿宋_GB2312" w:eastAsia="仿宋_GB2312" w:cs="仿宋_GB2312"/>
                <w:color w:val="auto"/>
                <w:lang w:eastAsia="zh-CN" w:bidi="ar"/>
              </w:rPr>
              <w:t>的</w:t>
            </w:r>
            <w:r>
              <w:rPr>
                <w:rStyle w:val="14"/>
                <w:rFonts w:ascii="仿宋_GB2312" w:hAnsi="仿宋_GB2312" w:eastAsia="仿宋_GB2312" w:cs="仿宋_GB2312"/>
                <w:color w:val="auto"/>
                <w:lang w:bidi="ar"/>
              </w:rPr>
              <w:t>等级为基本级、A级、AA级、AAA</w:t>
            </w:r>
            <w:r>
              <w:rPr>
                <w:rStyle w:val="14"/>
                <w:rFonts w:hint="default" w:ascii="仿宋_GB2312" w:hAnsi="仿宋_GB2312" w:eastAsia="仿宋_GB2312" w:cs="仿宋_GB2312"/>
                <w:color w:val="auto"/>
                <w:lang w:bidi="ar"/>
              </w:rPr>
              <w:t>级的</w:t>
            </w:r>
            <w:r>
              <w:rPr>
                <w:rStyle w:val="14"/>
                <w:rFonts w:ascii="仿宋_GB2312" w:hAnsi="仿宋_GB2312" w:eastAsia="仿宋_GB2312" w:cs="仿宋_GB2312"/>
                <w:color w:val="auto"/>
                <w:lang w:bidi="ar"/>
              </w:rPr>
              <w:t>装配式建筑项目，分别奖励项目总建筑面积2.7%、2.8%、2.9%、3.0%的不计容建筑面积</w:t>
            </w:r>
            <w:r>
              <w:rPr>
                <w:rStyle w:val="14"/>
                <w:rFonts w:ascii="仿宋_GB2312" w:hAnsi="仿宋_GB2312" w:eastAsia="仿宋_GB2312" w:cs="仿宋_GB2312"/>
                <w:color w:val="auto"/>
                <w:lang w:eastAsia="zh-CN" w:bidi="ar"/>
              </w:rPr>
              <w:t>；</w:t>
            </w:r>
            <w:r>
              <w:rPr>
                <w:rStyle w:val="14"/>
                <w:rFonts w:ascii="仿宋_GB2312" w:hAnsi="仿宋_GB2312" w:eastAsia="仿宋_GB2312" w:cs="仿宋_GB2312"/>
                <w:b/>
                <w:bCs/>
                <w:color w:val="auto"/>
                <w:lang w:eastAsia="zh-CN" w:bidi="ar"/>
              </w:rPr>
              <w:t>重庆、</w:t>
            </w:r>
            <w:r>
              <w:rPr>
                <w:rStyle w:val="14"/>
                <w:rFonts w:hint="default" w:ascii="仿宋_GB2312" w:hAnsi="仿宋_GB2312" w:eastAsia="仿宋_GB2312" w:cs="仿宋_GB2312"/>
                <w:b/>
                <w:color w:val="auto"/>
                <w:lang w:bidi="ar"/>
              </w:rPr>
              <w:t>江苏南京</w:t>
            </w:r>
            <w:r>
              <w:rPr>
                <w:rStyle w:val="14"/>
                <w:rFonts w:hint="eastAsia" w:ascii="仿宋_GB2312" w:hAnsi="仿宋_GB2312" w:eastAsia="仿宋_GB2312" w:cs="仿宋_GB2312"/>
                <w:b w:val="0"/>
                <w:bCs/>
                <w:color w:val="auto"/>
                <w:lang w:eastAsia="zh-CN" w:bidi="ar"/>
              </w:rPr>
              <w:t>等地</w:t>
            </w:r>
            <w:r>
              <w:rPr>
                <w:rStyle w:val="14"/>
                <w:rFonts w:hint="default" w:ascii="仿宋_GB2312" w:hAnsi="仿宋_GB2312" w:eastAsia="仿宋_GB2312" w:cs="仿宋_GB2312"/>
                <w:color w:val="auto"/>
                <w:lang w:bidi="ar"/>
              </w:rPr>
              <w:t>对于达到装配率指标要求的开发项目,可在其进度出正负零且预制部品部件首件安装完成时</w:t>
            </w:r>
            <w:r>
              <w:rPr>
                <w:rStyle w:val="14"/>
                <w:rFonts w:hint="eastAsia" w:ascii="仿宋_GB2312" w:hAnsi="仿宋_GB2312" w:eastAsia="仿宋_GB2312" w:cs="仿宋_GB2312"/>
                <w:color w:val="auto"/>
                <w:lang w:eastAsia="zh-CN" w:bidi="ar"/>
              </w:rPr>
              <w:t>，</w:t>
            </w:r>
            <w:r>
              <w:rPr>
                <w:rStyle w:val="14"/>
                <w:rFonts w:hint="default" w:ascii="仿宋_GB2312" w:hAnsi="仿宋_GB2312" w:eastAsia="仿宋_GB2312" w:cs="仿宋_GB2312"/>
                <w:color w:val="auto"/>
                <w:lang w:bidi="ar"/>
              </w:rPr>
              <w:t>提前办理商品房预售许可。</w:t>
            </w:r>
          </w:p>
        </w:tc>
      </w:tr>
      <w:tr>
        <w:tblPrEx>
          <w:tblLayout w:type="fixed"/>
          <w:tblCellMar>
            <w:top w:w="0" w:type="dxa"/>
            <w:left w:w="108" w:type="dxa"/>
            <w:bottom w:w="0" w:type="dxa"/>
            <w:right w:w="108" w:type="dxa"/>
          </w:tblCellMar>
        </w:tblPrEx>
        <w:trPr>
          <w:trHeight w:val="1078" w:hRule="atLeast"/>
        </w:trPr>
        <w:tc>
          <w:tcPr>
            <w:tcW w:w="81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黑体" w:hAnsi="黑体" w:eastAsia="黑体" w:cs="黑体"/>
                <w:color w:val="000000"/>
                <w:sz w:val="24"/>
              </w:rPr>
            </w:pPr>
          </w:p>
        </w:tc>
        <w:tc>
          <w:tcPr>
            <w:tcW w:w="147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黑体" w:hAnsi="黑体" w:eastAsia="黑体" w:cs="黑体"/>
                <w:color w:val="000000"/>
                <w:sz w:val="24"/>
              </w:rPr>
            </w:pPr>
          </w:p>
        </w:tc>
        <w:tc>
          <w:tcPr>
            <w:tcW w:w="1985" w:type="dxa"/>
            <w:vMerge w:val="continue"/>
            <w:tcBorders>
              <w:top w:val="single" w:color="auto" w:sz="4" w:space="0"/>
              <w:left w:val="single" w:color="000000" w:sz="8" w:space="0"/>
              <w:bottom w:val="single" w:color="auto" w:sz="4" w:space="0"/>
              <w:right w:val="single" w:color="000000" w:sz="8" w:space="0"/>
            </w:tcBorders>
            <w:shd w:val="clear" w:color="auto" w:fill="auto"/>
            <w:vAlign w:val="center"/>
          </w:tcPr>
          <w:p>
            <w:pPr>
              <w:jc w:val="center"/>
              <w:rPr>
                <w:rFonts w:hint="eastAsia" w:ascii="楷体_GB2312" w:hAnsi="楷体_GB2312" w:eastAsia="楷体_GB2312" w:cs="楷体_GB2312"/>
                <w:b w:val="0"/>
                <w:bCs w:val="0"/>
                <w:color w:val="000000"/>
                <w:sz w:val="24"/>
              </w:rPr>
            </w:pPr>
          </w:p>
        </w:tc>
        <w:tc>
          <w:tcPr>
            <w:tcW w:w="9174" w:type="dxa"/>
            <w:tcBorders>
              <w:top w:val="single" w:color="000000" w:sz="4" w:space="0"/>
              <w:left w:val="single" w:color="000000" w:sz="8" w:space="0"/>
              <w:bottom w:val="single" w:color="000000" w:sz="4" w:space="0"/>
              <w:right w:val="single" w:color="000000" w:sz="8" w:space="0"/>
            </w:tcBorders>
            <w:shd w:val="clear" w:color="auto" w:fill="auto"/>
            <w:vAlign w:val="center"/>
          </w:tcPr>
          <w:p>
            <w:pPr>
              <w:widowControl/>
              <w:textAlignment w:val="center"/>
              <w:rPr>
                <w:rFonts w:hint="eastAsia" w:ascii="仿宋_GB2312" w:hAnsi="仿宋_GB2312" w:eastAsia="仿宋_GB2312" w:cs="仿宋_GB2312"/>
                <w:color w:val="0000FF"/>
                <w:sz w:val="24"/>
                <w:lang w:val="en-US" w:eastAsia="zh-CN"/>
              </w:rPr>
            </w:pPr>
            <w:r>
              <w:rPr>
                <w:rStyle w:val="13"/>
                <w:rFonts w:hint="default" w:ascii="仿宋_GB2312" w:hAnsi="仿宋_GB2312" w:eastAsia="仿宋_GB2312" w:cs="仿宋_GB2312"/>
                <w:color w:val="auto"/>
                <w:lang w:bidi="ar"/>
              </w:rPr>
              <w:t>4.政府投资项目计入增量成本。</w:t>
            </w:r>
            <w:r>
              <w:rPr>
                <w:rStyle w:val="13"/>
                <w:rFonts w:hint="default" w:ascii="仿宋_GB2312" w:hAnsi="仿宋_GB2312" w:eastAsia="仿宋_GB2312" w:cs="仿宋_GB2312"/>
                <w:b w:val="0"/>
                <w:color w:val="auto"/>
                <w:lang w:bidi="ar"/>
              </w:rPr>
              <w:t>针对政府投资项目</w:t>
            </w:r>
            <w:r>
              <w:rPr>
                <w:rStyle w:val="13"/>
                <w:rFonts w:hint="eastAsia" w:ascii="仿宋_GB2312" w:hAnsi="仿宋_GB2312" w:eastAsia="仿宋_GB2312" w:cs="仿宋_GB2312"/>
                <w:b w:val="0"/>
                <w:color w:val="auto"/>
                <w:lang w:eastAsia="zh-CN" w:bidi="ar"/>
              </w:rPr>
              <w:t>，</w:t>
            </w:r>
            <w:r>
              <w:rPr>
                <w:rStyle w:val="13"/>
                <w:rFonts w:hint="default" w:ascii="仿宋_GB2312" w:hAnsi="仿宋_GB2312" w:eastAsia="仿宋_GB2312" w:cs="仿宋_GB2312"/>
                <w:b w:val="0"/>
                <w:color w:val="auto"/>
                <w:lang w:bidi="ar"/>
              </w:rPr>
              <w:t>在立项</w:t>
            </w:r>
            <w:r>
              <w:rPr>
                <w:rStyle w:val="13"/>
                <w:rFonts w:hint="eastAsia" w:ascii="仿宋_GB2312" w:hAnsi="仿宋_GB2312" w:eastAsia="仿宋_GB2312" w:cs="仿宋_GB2312"/>
                <w:b w:val="0"/>
                <w:color w:val="auto"/>
                <w:lang w:eastAsia="zh-CN" w:bidi="ar"/>
              </w:rPr>
              <w:t>阶段将实施</w:t>
            </w:r>
            <w:r>
              <w:rPr>
                <w:rStyle w:val="13"/>
                <w:rFonts w:hint="default" w:ascii="仿宋_GB2312" w:hAnsi="仿宋_GB2312" w:eastAsia="仿宋_GB2312" w:cs="仿宋_GB2312"/>
                <w:b w:val="0"/>
                <w:color w:val="auto"/>
                <w:lang w:bidi="ar"/>
              </w:rPr>
              <w:t>装配式建筑要求</w:t>
            </w:r>
            <w:r>
              <w:rPr>
                <w:rStyle w:val="13"/>
                <w:rFonts w:hint="eastAsia" w:ascii="仿宋_GB2312" w:hAnsi="仿宋_GB2312" w:eastAsia="仿宋_GB2312" w:cs="仿宋_GB2312"/>
                <w:b w:val="0"/>
                <w:color w:val="auto"/>
                <w:lang w:eastAsia="zh-CN" w:bidi="ar"/>
              </w:rPr>
              <w:t>造成的</w:t>
            </w:r>
            <w:r>
              <w:rPr>
                <w:rStyle w:val="13"/>
                <w:rFonts w:hint="default" w:ascii="仿宋_GB2312" w:hAnsi="仿宋_GB2312" w:eastAsia="仿宋_GB2312" w:cs="仿宋_GB2312"/>
                <w:b w:val="0"/>
                <w:color w:val="auto"/>
                <w:lang w:bidi="ar"/>
              </w:rPr>
              <w:t>预算增量</w:t>
            </w:r>
            <w:r>
              <w:rPr>
                <w:rStyle w:val="13"/>
                <w:rFonts w:hint="eastAsia" w:ascii="仿宋_GB2312" w:hAnsi="仿宋_GB2312" w:eastAsia="仿宋_GB2312" w:cs="仿宋_GB2312"/>
                <w:b w:val="0"/>
                <w:color w:val="auto"/>
                <w:lang w:eastAsia="zh-CN" w:bidi="ar"/>
              </w:rPr>
              <w:t>列入项目建设成本。如</w:t>
            </w:r>
            <w:r>
              <w:rPr>
                <w:rStyle w:val="13"/>
                <w:rFonts w:hint="eastAsia" w:ascii="仿宋_GB2312" w:hAnsi="仿宋_GB2312" w:eastAsia="仿宋_GB2312" w:cs="仿宋_GB2312"/>
                <w:b/>
                <w:bCs w:val="0"/>
                <w:color w:val="auto"/>
                <w:lang w:eastAsia="zh-CN" w:bidi="ar"/>
              </w:rPr>
              <w:t>广东</w:t>
            </w:r>
            <w:r>
              <w:rPr>
                <w:rStyle w:val="13"/>
                <w:rFonts w:hint="default" w:ascii="仿宋_GB2312" w:hAnsi="仿宋_GB2312" w:eastAsia="仿宋_GB2312" w:cs="仿宋_GB2312"/>
                <w:color w:val="auto"/>
                <w:lang w:bidi="ar"/>
              </w:rPr>
              <w:t>深圳</w:t>
            </w:r>
            <w:r>
              <w:rPr>
                <w:rStyle w:val="13"/>
                <w:rFonts w:hint="default" w:ascii="仿宋_GB2312" w:hAnsi="仿宋_GB2312" w:eastAsia="仿宋_GB2312" w:cs="仿宋_GB2312"/>
                <w:b w:val="0"/>
                <w:color w:val="auto"/>
                <w:lang w:bidi="ar"/>
              </w:rPr>
              <w:t>明确</w:t>
            </w:r>
            <w:r>
              <w:rPr>
                <w:rStyle w:val="13"/>
                <w:rFonts w:hint="eastAsia" w:ascii="仿宋_GB2312" w:hAnsi="仿宋_GB2312" w:eastAsia="仿宋_GB2312" w:cs="仿宋_GB2312"/>
                <w:b w:val="0"/>
                <w:color w:val="auto"/>
                <w:lang w:eastAsia="zh-CN" w:bidi="ar"/>
              </w:rPr>
              <w:t>将</w:t>
            </w:r>
            <w:r>
              <w:rPr>
                <w:rStyle w:val="13"/>
                <w:rFonts w:hint="default" w:ascii="仿宋_GB2312" w:hAnsi="仿宋_GB2312" w:eastAsia="仿宋_GB2312" w:cs="仿宋_GB2312"/>
                <w:b w:val="0"/>
                <w:color w:val="auto"/>
                <w:lang w:bidi="ar"/>
              </w:rPr>
              <w:t>政府投资项目装配式增量成本计入项目建设成本</w:t>
            </w:r>
            <w:r>
              <w:rPr>
                <w:rStyle w:val="13"/>
                <w:rFonts w:hint="eastAsia" w:ascii="仿宋_GB2312" w:hAnsi="仿宋_GB2312" w:eastAsia="仿宋_GB2312" w:cs="仿宋_GB2312"/>
                <w:b w:val="0"/>
                <w:color w:val="auto"/>
                <w:lang w:eastAsia="zh-CN" w:bidi="ar"/>
              </w:rPr>
              <w:t>，解决了建设单位投资核算依据问题。</w:t>
            </w:r>
          </w:p>
        </w:tc>
      </w:tr>
      <w:tr>
        <w:tblPrEx>
          <w:tblLayout w:type="fixed"/>
        </w:tblPrEx>
        <w:trPr>
          <w:trHeight w:val="1973" w:hRule="atLeast"/>
        </w:trPr>
        <w:tc>
          <w:tcPr>
            <w:tcW w:w="81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黑体" w:hAnsi="黑体" w:eastAsia="黑体" w:cs="黑体"/>
                <w:color w:val="000000"/>
                <w:sz w:val="24"/>
              </w:rPr>
            </w:pPr>
          </w:p>
        </w:tc>
        <w:tc>
          <w:tcPr>
            <w:tcW w:w="147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黑体" w:hAnsi="黑体" w:eastAsia="黑体" w:cs="黑体"/>
                <w:color w:val="000000"/>
                <w:sz w:val="24"/>
              </w:rPr>
            </w:pPr>
          </w:p>
        </w:tc>
        <w:tc>
          <w:tcPr>
            <w:tcW w:w="1985" w:type="dxa"/>
            <w:vMerge w:val="continue"/>
            <w:tcBorders>
              <w:top w:val="single" w:color="auto" w:sz="4" w:space="0"/>
              <w:left w:val="single" w:color="000000" w:sz="8" w:space="0"/>
              <w:bottom w:val="single" w:color="auto" w:sz="4" w:space="0"/>
              <w:right w:val="single" w:color="000000" w:sz="8" w:space="0"/>
            </w:tcBorders>
            <w:shd w:val="clear" w:color="auto" w:fill="auto"/>
            <w:vAlign w:val="center"/>
          </w:tcPr>
          <w:p>
            <w:pPr>
              <w:jc w:val="center"/>
              <w:rPr>
                <w:rFonts w:hint="eastAsia" w:ascii="楷体_GB2312" w:hAnsi="楷体_GB2312" w:eastAsia="楷体_GB2312" w:cs="楷体_GB2312"/>
                <w:b w:val="0"/>
                <w:bCs w:val="0"/>
                <w:color w:val="000000"/>
                <w:sz w:val="24"/>
              </w:rPr>
            </w:pPr>
          </w:p>
        </w:tc>
        <w:tc>
          <w:tcPr>
            <w:tcW w:w="9174" w:type="dxa"/>
            <w:tcBorders>
              <w:top w:val="single" w:color="000000" w:sz="4" w:space="0"/>
              <w:left w:val="single" w:color="000000" w:sz="8" w:space="0"/>
              <w:bottom w:val="single" w:color="000000" w:sz="4" w:space="0"/>
              <w:right w:val="single" w:color="000000" w:sz="8" w:space="0"/>
            </w:tcBorders>
            <w:shd w:val="clear" w:color="auto" w:fill="auto"/>
            <w:vAlign w:val="center"/>
          </w:tcPr>
          <w:p>
            <w:pPr>
              <w:jc w:val="left"/>
              <w:rPr>
                <w:rFonts w:ascii="仿宋_GB2312" w:hAnsi="仿宋_GB2312" w:eastAsia="仿宋_GB2312" w:cs="仿宋_GB2312"/>
                <w:color w:val="000000"/>
                <w:sz w:val="24"/>
              </w:rPr>
            </w:pPr>
            <w:r>
              <w:rPr>
                <w:rStyle w:val="13"/>
                <w:rFonts w:hint="default" w:ascii="仿宋_GB2312" w:hAnsi="仿宋_GB2312" w:eastAsia="仿宋_GB2312" w:cs="仿宋_GB2312"/>
                <w:lang w:bidi="ar"/>
              </w:rPr>
              <w:t>5.引导高标准建设。</w:t>
            </w:r>
            <w:r>
              <w:rPr>
                <w:rStyle w:val="13"/>
                <w:rFonts w:hint="eastAsia" w:ascii="仿宋_GB2312" w:hAnsi="仿宋_GB2312" w:eastAsia="仿宋_GB2312" w:cs="仿宋_GB2312"/>
                <w:b w:val="0"/>
                <w:bCs w:val="0"/>
                <w:lang w:eastAsia="zh-CN" w:bidi="ar"/>
              </w:rPr>
              <w:t>在供地环节明确高标准建设要求，引导开发商提高建筑品质。如</w:t>
            </w:r>
            <w:r>
              <w:rPr>
                <w:rStyle w:val="13"/>
                <w:rFonts w:hint="default" w:ascii="仿宋_GB2312" w:hAnsi="仿宋_GB2312" w:eastAsia="仿宋_GB2312" w:cs="仿宋_GB2312"/>
                <w:lang w:bidi="ar"/>
              </w:rPr>
              <w:t>北京</w:t>
            </w:r>
            <w:r>
              <w:rPr>
                <w:rStyle w:val="14"/>
                <w:rFonts w:hint="default" w:ascii="仿宋_GB2312" w:hAnsi="仿宋_GB2312" w:eastAsia="仿宋_GB2312" w:cs="仿宋_GB2312"/>
                <w:lang w:bidi="ar"/>
              </w:rPr>
              <w:t>在集中供地实施商品住宅“最低品质要求”和“竞高标准商品住宅建设方案”，“最低品质要求”包含达到绿色建筑二星级标准、实施装配式建筑且装配率达到60%、设置太阳能光伏或光热系统，并纳入《房屋售价承诺书》；“竞高标准商品住宅建设方案”包含提高装配式建筑实施要求，装配率应达到AA（BJ）或AAA（BJ）级标准以及全面实施装配式装修。北京市2021年</w:t>
            </w:r>
            <w:r>
              <w:rPr>
                <w:rStyle w:val="14"/>
                <w:rFonts w:hint="eastAsia" w:ascii="仿宋_GB2312" w:hAnsi="仿宋_GB2312" w:eastAsia="仿宋_GB2312" w:cs="仿宋_GB2312"/>
                <w:lang w:val="en-US" w:eastAsia="zh-CN" w:bidi="ar"/>
              </w:rPr>
              <w:t>共有46宗地约515万平方米实施最低品质建设，</w:t>
            </w:r>
            <w:r>
              <w:rPr>
                <w:rStyle w:val="14"/>
                <w:rFonts w:hint="default" w:ascii="仿宋_GB2312" w:hAnsi="仿宋_GB2312" w:eastAsia="仿宋_GB2312" w:cs="仿宋_GB2312"/>
                <w:lang w:bidi="ar"/>
              </w:rPr>
              <w:t>10宗地块约94万平方米实施高</w:t>
            </w:r>
            <w:r>
              <w:rPr>
                <w:rStyle w:val="14"/>
                <w:rFonts w:hint="eastAsia" w:ascii="仿宋_GB2312" w:hAnsi="仿宋_GB2312" w:eastAsia="仿宋_GB2312" w:cs="仿宋_GB2312"/>
                <w:lang w:eastAsia="zh-CN" w:bidi="ar"/>
              </w:rPr>
              <w:t>标准</w:t>
            </w:r>
            <w:r>
              <w:rPr>
                <w:rStyle w:val="14"/>
                <w:rFonts w:hint="default" w:ascii="仿宋_GB2312" w:hAnsi="仿宋_GB2312" w:eastAsia="仿宋_GB2312" w:cs="仿宋_GB2312"/>
                <w:lang w:bidi="ar"/>
              </w:rPr>
              <w:t>建设，取得了很好</w:t>
            </w:r>
            <w:r>
              <w:rPr>
                <w:rStyle w:val="14"/>
                <w:rFonts w:hint="eastAsia" w:ascii="仿宋_GB2312" w:hAnsi="仿宋_GB2312" w:eastAsia="仿宋_GB2312" w:cs="仿宋_GB2312"/>
                <w:lang w:eastAsia="zh-CN" w:bidi="ar"/>
              </w:rPr>
              <w:t>的</w:t>
            </w:r>
            <w:r>
              <w:rPr>
                <w:rStyle w:val="14"/>
                <w:rFonts w:hint="default" w:ascii="仿宋_GB2312" w:hAnsi="仿宋_GB2312" w:eastAsia="仿宋_GB2312" w:cs="仿宋_GB2312"/>
                <w:lang w:bidi="ar"/>
              </w:rPr>
              <w:t>引领效应。</w:t>
            </w:r>
          </w:p>
        </w:tc>
      </w:tr>
      <w:tr>
        <w:tblPrEx>
          <w:tblLayout w:type="fixed"/>
          <w:tblCellMar>
            <w:top w:w="0" w:type="dxa"/>
            <w:left w:w="108" w:type="dxa"/>
            <w:bottom w:w="0" w:type="dxa"/>
            <w:right w:w="108" w:type="dxa"/>
          </w:tblCellMar>
        </w:tblPrEx>
        <w:trPr>
          <w:trHeight w:val="1872" w:hRule="atLeast"/>
        </w:trPr>
        <w:tc>
          <w:tcPr>
            <w:tcW w:w="810" w:type="dxa"/>
            <w:vMerge w:val="restart"/>
            <w:tcBorders>
              <w:top w:val="single" w:color="auto" w:sz="4" w:space="0"/>
              <w:left w:val="single" w:color="auto" w:sz="4" w:space="0"/>
              <w:bottom w:val="single" w:color="auto" w:sz="4" w:space="0"/>
              <w:right w:val="single" w:color="000000" w:sz="8" w:space="0"/>
            </w:tcBorders>
            <w:shd w:val="clear" w:color="auto" w:fill="auto"/>
            <w:vAlign w:val="center"/>
          </w:tcPr>
          <w:p>
            <w:pPr>
              <w:widowControl/>
              <w:jc w:val="center"/>
              <w:textAlignment w:val="center"/>
              <w:rPr>
                <w:rFonts w:hint="eastAsia" w:ascii="黑体" w:hAnsi="黑体" w:eastAsia="黑体" w:cs="黑体"/>
                <w:color w:val="000000"/>
                <w:sz w:val="24"/>
              </w:rPr>
            </w:pPr>
            <w:r>
              <w:rPr>
                <w:rFonts w:hint="eastAsia" w:ascii="黑体" w:hAnsi="黑体" w:eastAsia="黑体" w:cs="黑体"/>
                <w:color w:val="000000"/>
                <w:kern w:val="0"/>
                <w:sz w:val="24"/>
                <w:lang w:bidi="ar"/>
              </w:rPr>
              <w:t>二</w:t>
            </w:r>
          </w:p>
        </w:tc>
        <w:tc>
          <w:tcPr>
            <w:tcW w:w="1470" w:type="dxa"/>
            <w:vMerge w:val="restart"/>
            <w:tcBorders>
              <w:top w:val="single" w:color="auto" w:sz="4" w:space="0"/>
              <w:left w:val="single" w:color="000000" w:sz="8" w:space="0"/>
              <w:bottom w:val="single" w:color="auto" w:sz="4" w:space="0"/>
              <w:right w:val="single" w:color="000000" w:sz="8" w:space="0"/>
            </w:tcBorders>
            <w:shd w:val="clear" w:color="auto" w:fill="auto"/>
            <w:vAlign w:val="center"/>
          </w:tcPr>
          <w:p>
            <w:pPr>
              <w:widowControl/>
              <w:jc w:val="center"/>
              <w:textAlignment w:val="center"/>
              <w:rPr>
                <w:rFonts w:hint="eastAsia" w:ascii="黑体" w:hAnsi="黑体" w:eastAsia="黑体" w:cs="黑体"/>
                <w:color w:val="000000"/>
                <w:sz w:val="24"/>
              </w:rPr>
            </w:pPr>
            <w:r>
              <w:rPr>
                <w:rFonts w:hint="eastAsia" w:ascii="黑体" w:hAnsi="黑体" w:eastAsia="黑体" w:cs="黑体"/>
                <w:color w:val="000000"/>
                <w:kern w:val="0"/>
                <w:sz w:val="24"/>
                <w:lang w:bidi="ar"/>
              </w:rPr>
              <w:t>技术支撑</w:t>
            </w:r>
          </w:p>
        </w:tc>
        <w:tc>
          <w:tcPr>
            <w:tcW w:w="1985" w:type="dxa"/>
            <w:vMerge w:val="restart"/>
            <w:tcBorders>
              <w:top w:val="single" w:color="auto" w:sz="4" w:space="0"/>
              <w:left w:val="single" w:color="000000" w:sz="4" w:space="0"/>
              <w:bottom w:val="single" w:color="auto" w:sz="4" w:space="0"/>
              <w:right w:val="single" w:color="auto" w:sz="4" w:space="0"/>
            </w:tcBorders>
            <w:shd w:val="clear" w:color="auto" w:fill="auto"/>
            <w:vAlign w:val="center"/>
          </w:tcPr>
          <w:p>
            <w:pPr>
              <w:widowControl/>
              <w:jc w:val="center"/>
              <w:textAlignment w:val="center"/>
              <w:rPr>
                <w:rFonts w:hint="eastAsia" w:ascii="楷体_GB2312" w:hAnsi="楷体_GB2312" w:eastAsia="楷体_GB2312" w:cs="楷体_GB2312"/>
                <w:b w:val="0"/>
                <w:bCs w:val="0"/>
                <w:color w:val="000000"/>
                <w:sz w:val="24"/>
              </w:rPr>
            </w:pPr>
            <w:r>
              <w:rPr>
                <w:rFonts w:hint="eastAsia" w:ascii="楷体_GB2312" w:hAnsi="楷体_GB2312" w:eastAsia="楷体_GB2312" w:cs="楷体_GB2312"/>
                <w:b w:val="0"/>
                <w:bCs w:val="0"/>
                <w:color w:val="000000"/>
                <w:kern w:val="0"/>
                <w:sz w:val="24"/>
                <w:lang w:bidi="ar"/>
              </w:rPr>
              <w:t>（一）明确技术路径</w:t>
            </w:r>
          </w:p>
        </w:tc>
        <w:tc>
          <w:tcPr>
            <w:tcW w:w="9174" w:type="dxa"/>
            <w:tcBorders>
              <w:top w:val="single" w:color="000000" w:sz="8" w:space="0"/>
              <w:left w:val="single" w:color="auto" w:sz="4" w:space="0"/>
              <w:bottom w:val="single" w:color="000000" w:sz="4" w:space="0"/>
              <w:right w:val="single" w:color="000000" w:sz="8" w:space="0"/>
            </w:tcBorders>
            <w:shd w:val="clear" w:color="auto" w:fill="auto"/>
            <w:vAlign w:val="center"/>
          </w:tcPr>
          <w:p>
            <w:pPr>
              <w:widowControl/>
              <w:textAlignment w:val="center"/>
              <w:rPr>
                <w:rFonts w:eastAsia="仿宋_GB2312"/>
              </w:rPr>
            </w:pPr>
            <w:r>
              <w:rPr>
                <w:rStyle w:val="13"/>
                <w:rFonts w:hint="default" w:ascii="仿宋_GB2312" w:hAnsi="仿宋_GB2312" w:eastAsia="仿宋_GB2312" w:cs="仿宋_GB2312"/>
                <w:lang w:bidi="ar"/>
              </w:rPr>
              <w:t>1.因地制宜推进装配式建筑技术应用。</w:t>
            </w:r>
            <w:r>
              <w:rPr>
                <w:rStyle w:val="13"/>
                <w:rFonts w:hint="default" w:ascii="仿宋_GB2312" w:hAnsi="仿宋_GB2312" w:eastAsia="仿宋_GB2312" w:cs="仿宋_GB2312"/>
                <w:b w:val="0"/>
                <w:bCs w:val="0"/>
                <w:lang w:bidi="ar"/>
              </w:rPr>
              <w:t>根据装配式建筑不同结构体系优势，结合地域和项目特点，各地因地制宜推进装配式建筑应用，形成了区域特色。如</w:t>
            </w:r>
            <w:r>
              <w:rPr>
                <w:rStyle w:val="13"/>
                <w:rFonts w:hint="default" w:ascii="仿宋_GB2312" w:hAnsi="仿宋_GB2312" w:eastAsia="仿宋_GB2312" w:cs="仿宋_GB2312"/>
                <w:lang w:bidi="ar"/>
              </w:rPr>
              <w:t>青海</w:t>
            </w:r>
            <w:r>
              <w:rPr>
                <w:rStyle w:val="13"/>
                <w:rFonts w:hint="default" w:ascii="仿宋_GB2312" w:hAnsi="仿宋_GB2312" w:eastAsia="仿宋_GB2312" w:cs="仿宋_GB2312"/>
                <w:b w:val="0"/>
                <w:bCs w:val="0"/>
                <w:lang w:bidi="ar"/>
              </w:rPr>
              <w:t>在玉树州杂多县“10.17”地震灾后重建中，建设733套装配式冷弯薄壁型钢结构农房</w:t>
            </w:r>
            <w:r>
              <w:rPr>
                <w:rStyle w:val="13"/>
                <w:rFonts w:hint="eastAsia" w:ascii="仿宋_GB2312" w:hAnsi="仿宋_GB2312" w:eastAsia="仿宋_GB2312" w:cs="仿宋_GB2312"/>
                <w:b w:val="0"/>
                <w:bCs w:val="0"/>
                <w:lang w:eastAsia="zh-CN" w:bidi="ar"/>
              </w:rPr>
              <w:t>；</w:t>
            </w:r>
            <w:r>
              <w:rPr>
                <w:rStyle w:val="13"/>
                <w:rFonts w:hint="default" w:ascii="仿宋_GB2312" w:hAnsi="仿宋_GB2312" w:eastAsia="仿宋_GB2312" w:cs="仿宋_GB2312"/>
                <w:lang w:bidi="ar"/>
              </w:rPr>
              <w:t>内蒙古</w:t>
            </w:r>
            <w:r>
              <w:rPr>
                <w:rStyle w:val="13"/>
                <w:rFonts w:hint="default" w:ascii="仿宋_GB2312" w:hAnsi="仿宋_GB2312" w:eastAsia="仿宋_GB2312" w:cs="仿宋_GB2312"/>
                <w:b w:val="0"/>
                <w:bCs w:val="0"/>
                <w:lang w:bidi="ar"/>
              </w:rPr>
              <w:t>积极探索适宜农村牧区的装配式低层住宅体系</w:t>
            </w:r>
            <w:r>
              <w:rPr>
                <w:rStyle w:val="13"/>
                <w:rFonts w:hint="eastAsia" w:ascii="仿宋_GB2312" w:hAnsi="仿宋_GB2312" w:eastAsia="仿宋_GB2312" w:cs="仿宋_GB2312"/>
                <w:b w:val="0"/>
                <w:bCs w:val="0"/>
                <w:lang w:eastAsia="zh-CN" w:bidi="ar"/>
              </w:rPr>
              <w:t>；</w:t>
            </w:r>
            <w:r>
              <w:rPr>
                <w:rStyle w:val="13"/>
                <w:rFonts w:hint="default" w:ascii="仿宋_GB2312" w:hAnsi="仿宋_GB2312" w:eastAsia="仿宋_GB2312" w:cs="仿宋_GB2312"/>
                <w:lang w:bidi="ar"/>
              </w:rPr>
              <w:t>广西</w:t>
            </w:r>
            <w:r>
              <w:rPr>
                <w:rStyle w:val="13"/>
                <w:rFonts w:hint="default" w:ascii="仿宋_GB2312" w:hAnsi="仿宋_GB2312" w:eastAsia="仿宋_GB2312" w:cs="仿宋_GB2312"/>
                <w:b w:val="0"/>
                <w:bCs w:val="0"/>
                <w:lang w:bidi="ar"/>
              </w:rPr>
              <w:t>充分</w:t>
            </w:r>
            <w:r>
              <w:rPr>
                <w:rStyle w:val="13"/>
                <w:rFonts w:hint="eastAsia" w:ascii="仿宋_GB2312" w:hAnsi="仿宋_GB2312" w:eastAsia="仿宋_GB2312" w:cs="仿宋_GB2312"/>
                <w:b w:val="0"/>
                <w:bCs w:val="0"/>
                <w:lang w:eastAsia="zh-CN" w:bidi="ar"/>
              </w:rPr>
              <w:t>应用</w:t>
            </w:r>
            <w:r>
              <w:rPr>
                <w:rStyle w:val="13"/>
                <w:rFonts w:hint="default" w:ascii="仿宋_GB2312" w:hAnsi="仿宋_GB2312" w:eastAsia="仿宋_GB2312" w:cs="仿宋_GB2312"/>
                <w:b w:val="0"/>
                <w:bCs w:val="0"/>
                <w:lang w:bidi="ar"/>
              </w:rPr>
              <w:t>装配式房屋</w:t>
            </w:r>
            <w:r>
              <w:rPr>
                <w:rStyle w:val="13"/>
                <w:rFonts w:hint="eastAsia" w:ascii="仿宋_GB2312" w:hAnsi="仿宋_GB2312" w:eastAsia="仿宋_GB2312" w:cs="仿宋_GB2312"/>
                <w:b w:val="0"/>
                <w:bCs w:val="0"/>
                <w:lang w:eastAsia="zh-CN" w:bidi="ar"/>
              </w:rPr>
              <w:t>快装技术</w:t>
            </w:r>
            <w:r>
              <w:rPr>
                <w:rStyle w:val="13"/>
                <w:rFonts w:hint="default" w:ascii="仿宋_GB2312" w:hAnsi="仿宋_GB2312" w:eastAsia="仿宋_GB2312" w:cs="仿宋_GB2312"/>
                <w:b w:val="0"/>
                <w:bCs w:val="0"/>
                <w:lang w:bidi="ar"/>
              </w:rPr>
              <w:t>，将装配式房屋投入到应急建设中，10天快速建成农村解困房，15天建成广西首个装配式农房示范点</w:t>
            </w:r>
            <w:r>
              <w:rPr>
                <w:rStyle w:val="13"/>
                <w:rFonts w:hint="eastAsia" w:ascii="仿宋_GB2312" w:hAnsi="仿宋_GB2312" w:eastAsia="仿宋_GB2312" w:cs="仿宋_GB2312"/>
                <w:b w:val="0"/>
                <w:bCs w:val="0"/>
                <w:lang w:eastAsia="zh-CN" w:bidi="ar"/>
              </w:rPr>
              <w:t>；</w:t>
            </w:r>
            <w:r>
              <w:rPr>
                <w:rStyle w:val="13"/>
                <w:rFonts w:hint="eastAsia" w:ascii="仿宋_GB2312" w:hAnsi="仿宋_GB2312" w:eastAsia="仿宋_GB2312" w:cs="仿宋_GB2312"/>
                <w:b/>
                <w:bCs/>
                <w:lang w:eastAsia="zh-CN" w:bidi="ar"/>
              </w:rPr>
              <w:t>广东</w:t>
            </w:r>
            <w:r>
              <w:rPr>
                <w:rStyle w:val="13"/>
                <w:rFonts w:hint="default" w:ascii="仿宋_GB2312" w:hAnsi="仿宋_GB2312" w:eastAsia="仿宋_GB2312" w:cs="仿宋_GB2312"/>
                <w:lang w:bidi="ar"/>
              </w:rPr>
              <w:t>深圳</w:t>
            </w:r>
            <w:r>
              <w:rPr>
                <w:rStyle w:val="13"/>
                <w:rFonts w:hint="default" w:ascii="仿宋_GB2312" w:hAnsi="仿宋_GB2312" w:eastAsia="仿宋_GB2312" w:cs="仿宋_GB2312"/>
                <w:b w:val="0"/>
                <w:bCs w:val="0"/>
                <w:lang w:bidi="ar"/>
              </w:rPr>
              <w:t>在学校、酒店、方舱医院等30多个项目中大力推广模块化建筑，模块化建筑总建筑面积超过100万平方米。</w:t>
            </w:r>
          </w:p>
        </w:tc>
      </w:tr>
      <w:tr>
        <w:tblPrEx>
          <w:tblLayout w:type="fixed"/>
          <w:tblCellMar>
            <w:top w:w="0" w:type="dxa"/>
            <w:left w:w="108" w:type="dxa"/>
            <w:bottom w:w="0" w:type="dxa"/>
            <w:right w:w="108" w:type="dxa"/>
          </w:tblCellMar>
        </w:tblPrEx>
        <w:trPr>
          <w:trHeight w:val="1260" w:hRule="atLeast"/>
        </w:trPr>
        <w:tc>
          <w:tcPr>
            <w:tcW w:w="810" w:type="dxa"/>
            <w:vMerge w:val="continue"/>
            <w:tcBorders>
              <w:top w:val="single" w:color="auto" w:sz="4" w:space="0"/>
              <w:left w:val="single" w:color="auto" w:sz="4" w:space="0"/>
              <w:bottom w:val="single" w:color="auto" w:sz="4" w:space="0"/>
              <w:right w:val="single" w:color="000000" w:sz="8" w:space="0"/>
            </w:tcBorders>
            <w:shd w:val="clear" w:color="auto" w:fill="auto"/>
            <w:vAlign w:val="center"/>
          </w:tcPr>
          <w:p>
            <w:pPr>
              <w:jc w:val="center"/>
              <w:rPr>
                <w:rFonts w:hint="eastAsia" w:ascii="黑体" w:hAnsi="黑体" w:eastAsia="黑体" w:cs="黑体"/>
                <w:color w:val="000000"/>
                <w:sz w:val="24"/>
              </w:rPr>
            </w:pPr>
          </w:p>
        </w:tc>
        <w:tc>
          <w:tcPr>
            <w:tcW w:w="1470" w:type="dxa"/>
            <w:vMerge w:val="continue"/>
            <w:tcBorders>
              <w:top w:val="single" w:color="auto" w:sz="4" w:space="0"/>
              <w:left w:val="single" w:color="000000" w:sz="8" w:space="0"/>
              <w:bottom w:val="single" w:color="auto" w:sz="4" w:space="0"/>
              <w:right w:val="single" w:color="000000" w:sz="8" w:space="0"/>
            </w:tcBorders>
            <w:shd w:val="clear" w:color="auto" w:fill="auto"/>
            <w:vAlign w:val="center"/>
          </w:tcPr>
          <w:p>
            <w:pPr>
              <w:jc w:val="center"/>
              <w:rPr>
                <w:rFonts w:hint="eastAsia" w:ascii="黑体" w:hAnsi="黑体" w:eastAsia="黑体" w:cs="黑体"/>
                <w:color w:val="000000"/>
                <w:sz w:val="24"/>
              </w:rPr>
            </w:pPr>
          </w:p>
        </w:tc>
        <w:tc>
          <w:tcPr>
            <w:tcW w:w="1985" w:type="dxa"/>
            <w:vMerge w:val="continue"/>
            <w:tcBorders>
              <w:top w:val="single" w:color="auto" w:sz="4" w:space="0"/>
              <w:left w:val="single" w:color="000000" w:sz="4" w:space="0"/>
              <w:bottom w:val="single" w:color="auto" w:sz="4" w:space="0"/>
              <w:right w:val="single" w:color="auto" w:sz="4" w:space="0"/>
            </w:tcBorders>
            <w:shd w:val="clear" w:color="auto" w:fill="auto"/>
            <w:vAlign w:val="center"/>
          </w:tcPr>
          <w:p>
            <w:pPr>
              <w:jc w:val="center"/>
              <w:rPr>
                <w:rFonts w:hint="eastAsia" w:ascii="楷体_GB2312" w:hAnsi="楷体_GB2312" w:eastAsia="楷体_GB2312" w:cs="楷体_GB2312"/>
                <w:b w:val="0"/>
                <w:bCs w:val="0"/>
                <w:color w:val="000000"/>
                <w:sz w:val="24"/>
              </w:rPr>
            </w:pPr>
          </w:p>
        </w:tc>
        <w:tc>
          <w:tcPr>
            <w:tcW w:w="9174" w:type="dxa"/>
            <w:tcBorders>
              <w:top w:val="single" w:color="000000" w:sz="4" w:space="0"/>
              <w:left w:val="single" w:color="auto" w:sz="4" w:space="0"/>
              <w:bottom w:val="single" w:color="000000" w:sz="4" w:space="0"/>
              <w:right w:val="single" w:color="000000" w:sz="8" w:space="0"/>
            </w:tcBorders>
            <w:shd w:val="clear" w:color="auto" w:fill="auto"/>
            <w:vAlign w:val="center"/>
          </w:tcPr>
          <w:p>
            <w:pPr>
              <w:widowControl/>
              <w:textAlignment w:val="center"/>
              <w:rPr>
                <w:rFonts w:ascii="仿宋" w:hAnsi="仿宋" w:eastAsia="仿宋" w:cs="仿宋"/>
                <w:color w:val="000000"/>
                <w:sz w:val="24"/>
              </w:rPr>
            </w:pPr>
            <w:r>
              <w:rPr>
                <w:rStyle w:val="13"/>
                <w:rFonts w:hint="default" w:ascii="仿宋_GB2312" w:hAnsi="仿宋_GB2312" w:eastAsia="仿宋_GB2312" w:cs="仿宋_GB2312"/>
                <w:lang w:bidi="ar"/>
              </w:rPr>
              <w:t>2.稳步推动“先水平”到“后竖向”提升。</w:t>
            </w:r>
            <w:r>
              <w:rPr>
                <w:rStyle w:val="13"/>
                <w:rFonts w:hint="default" w:ascii="仿宋_GB2312" w:hAnsi="仿宋_GB2312" w:eastAsia="仿宋_GB2312" w:cs="仿宋_GB2312"/>
                <w:b w:val="0"/>
                <w:bCs w:val="0"/>
                <w:lang w:bidi="ar"/>
              </w:rPr>
              <w:t>针对较低的装配率不利于发挥装配式建筑综合效率优势的现状，部分地区在已有水平构件应用的基础上稳步提升装配水平，进一步发挥效率优势。如</w:t>
            </w:r>
            <w:r>
              <w:rPr>
                <w:rStyle w:val="13"/>
                <w:rFonts w:hint="default" w:ascii="仿宋_GB2312" w:hAnsi="仿宋_GB2312" w:eastAsia="仿宋_GB2312" w:cs="仿宋_GB2312"/>
                <w:lang w:bidi="ar"/>
              </w:rPr>
              <w:t>江苏</w:t>
            </w:r>
            <w:r>
              <w:rPr>
                <w:rStyle w:val="13"/>
                <w:rFonts w:hint="default" w:ascii="仿宋_GB2312" w:hAnsi="仿宋_GB2312" w:eastAsia="仿宋_GB2312" w:cs="仿宋_GB2312"/>
                <w:b w:val="0"/>
                <w:bCs w:val="0"/>
                <w:lang w:bidi="ar"/>
              </w:rPr>
              <w:t>在新建建筑中推广应用“三板”（预制内外墙板、预制楼梯板、预制楼板）的基础上</w:t>
            </w:r>
            <w:r>
              <w:rPr>
                <w:rStyle w:val="14"/>
                <w:rFonts w:hint="default" w:ascii="仿宋_GB2312" w:hAnsi="仿宋_GB2312" w:eastAsia="仿宋_GB2312" w:cs="仿宋_GB2312"/>
                <w:lang w:bidi="ar"/>
              </w:rPr>
              <w:t>，逐步提高要求，向竖向构件的应用发展；</w:t>
            </w:r>
            <w:r>
              <w:rPr>
                <w:rStyle w:val="14"/>
                <w:rFonts w:hint="default" w:ascii="仿宋_GB2312" w:hAnsi="仿宋_GB2312" w:eastAsia="仿宋_GB2312" w:cs="仿宋_GB2312"/>
                <w:b/>
                <w:bCs/>
                <w:lang w:bidi="ar"/>
              </w:rPr>
              <w:t>重庆</w:t>
            </w:r>
            <w:r>
              <w:rPr>
                <w:rStyle w:val="13"/>
                <w:rFonts w:hint="default" w:ascii="仿宋_GB2312" w:hAnsi="仿宋_GB2312" w:eastAsia="仿宋_GB2312" w:cs="仿宋_GB2312"/>
                <w:b w:val="0"/>
                <w:bCs w:val="0"/>
                <w:lang w:bidi="ar"/>
              </w:rPr>
              <w:t>坚持“效率效益最大化、不为装配率而装配”，</w:t>
            </w:r>
            <w:r>
              <w:rPr>
                <w:rStyle w:val="14"/>
                <w:rFonts w:hint="default" w:ascii="仿宋_GB2312" w:hAnsi="仿宋_GB2312" w:eastAsia="仿宋_GB2312" w:cs="仿宋_GB2312"/>
                <w:lang w:bidi="ar"/>
              </w:rPr>
              <w:t>结合山地城市特点，形成了“先水平、后竖向，先填充、后承重”的技术</w:t>
            </w:r>
            <w:r>
              <w:rPr>
                <w:rStyle w:val="13"/>
                <w:rFonts w:hint="default" w:ascii="仿宋_GB2312" w:hAnsi="仿宋_GB2312" w:eastAsia="仿宋_GB2312" w:cs="仿宋_GB2312"/>
                <w:b w:val="0"/>
                <w:bCs w:val="0"/>
                <w:lang w:bidi="ar"/>
              </w:rPr>
              <w:t>路线。</w:t>
            </w:r>
          </w:p>
        </w:tc>
      </w:tr>
      <w:tr>
        <w:tblPrEx>
          <w:tblLayout w:type="fixed"/>
          <w:tblCellMar>
            <w:top w:w="0" w:type="dxa"/>
            <w:left w:w="108" w:type="dxa"/>
            <w:bottom w:w="0" w:type="dxa"/>
            <w:right w:w="108" w:type="dxa"/>
          </w:tblCellMar>
        </w:tblPrEx>
        <w:trPr>
          <w:trHeight w:val="1755" w:hRule="atLeast"/>
        </w:trPr>
        <w:tc>
          <w:tcPr>
            <w:tcW w:w="810" w:type="dxa"/>
            <w:vMerge w:val="continue"/>
            <w:tcBorders>
              <w:top w:val="single" w:color="auto" w:sz="4" w:space="0"/>
              <w:left w:val="single" w:color="auto" w:sz="4" w:space="0"/>
              <w:bottom w:val="single" w:color="auto" w:sz="4" w:space="0"/>
              <w:right w:val="single" w:color="000000" w:sz="8" w:space="0"/>
            </w:tcBorders>
            <w:shd w:val="clear" w:color="auto" w:fill="auto"/>
            <w:vAlign w:val="center"/>
          </w:tcPr>
          <w:p>
            <w:pPr>
              <w:jc w:val="center"/>
              <w:rPr>
                <w:rFonts w:hint="eastAsia" w:ascii="黑体" w:hAnsi="黑体" w:eastAsia="黑体" w:cs="黑体"/>
                <w:color w:val="000000"/>
                <w:sz w:val="24"/>
              </w:rPr>
            </w:pPr>
          </w:p>
        </w:tc>
        <w:tc>
          <w:tcPr>
            <w:tcW w:w="1470" w:type="dxa"/>
            <w:vMerge w:val="continue"/>
            <w:tcBorders>
              <w:top w:val="single" w:color="auto" w:sz="4" w:space="0"/>
              <w:left w:val="single" w:color="000000" w:sz="8" w:space="0"/>
              <w:bottom w:val="single" w:color="auto" w:sz="4" w:space="0"/>
              <w:right w:val="single" w:color="000000" w:sz="8" w:space="0"/>
            </w:tcBorders>
            <w:shd w:val="clear" w:color="auto" w:fill="auto"/>
            <w:vAlign w:val="center"/>
          </w:tcPr>
          <w:p>
            <w:pPr>
              <w:jc w:val="center"/>
              <w:rPr>
                <w:rFonts w:hint="eastAsia" w:ascii="黑体" w:hAnsi="黑体" w:eastAsia="黑体" w:cs="黑体"/>
                <w:color w:val="000000"/>
                <w:sz w:val="24"/>
              </w:rPr>
            </w:pPr>
          </w:p>
        </w:tc>
        <w:tc>
          <w:tcPr>
            <w:tcW w:w="1985" w:type="dxa"/>
            <w:vMerge w:val="continue"/>
            <w:tcBorders>
              <w:top w:val="single" w:color="auto" w:sz="4" w:space="0"/>
              <w:left w:val="single" w:color="000000" w:sz="4" w:space="0"/>
              <w:bottom w:val="single" w:color="auto" w:sz="4" w:space="0"/>
              <w:right w:val="single" w:color="auto" w:sz="4" w:space="0"/>
            </w:tcBorders>
            <w:shd w:val="clear" w:color="auto" w:fill="auto"/>
            <w:vAlign w:val="center"/>
          </w:tcPr>
          <w:p>
            <w:pPr>
              <w:jc w:val="center"/>
              <w:rPr>
                <w:rFonts w:hint="eastAsia" w:ascii="楷体_GB2312" w:hAnsi="楷体_GB2312" w:eastAsia="楷体_GB2312" w:cs="楷体_GB2312"/>
                <w:b w:val="0"/>
                <w:bCs w:val="0"/>
                <w:color w:val="000000"/>
                <w:sz w:val="24"/>
              </w:rPr>
            </w:pPr>
          </w:p>
        </w:tc>
        <w:tc>
          <w:tcPr>
            <w:tcW w:w="9174" w:type="dxa"/>
            <w:tcBorders>
              <w:top w:val="single" w:color="000000" w:sz="4" w:space="0"/>
              <w:left w:val="single" w:color="auto" w:sz="4" w:space="0"/>
              <w:bottom w:val="single" w:color="000000" w:sz="8" w:space="0"/>
              <w:right w:val="single" w:color="000000" w:sz="8" w:space="0"/>
            </w:tcBorders>
            <w:shd w:val="clear" w:color="auto" w:fill="auto"/>
            <w:vAlign w:val="center"/>
          </w:tcPr>
          <w:p>
            <w:pPr>
              <w:widowControl/>
              <w:textAlignment w:val="center"/>
              <w:rPr>
                <w:rFonts w:ascii="仿宋" w:hAnsi="仿宋" w:eastAsia="仿宋" w:cs="仿宋"/>
                <w:color w:val="000000"/>
                <w:sz w:val="24"/>
              </w:rPr>
            </w:pPr>
            <w:r>
              <w:rPr>
                <w:rStyle w:val="13"/>
                <w:rFonts w:hint="default" w:ascii="仿宋_GB2312" w:hAnsi="仿宋_GB2312" w:eastAsia="仿宋_GB2312" w:cs="仿宋_GB2312"/>
                <w:lang w:bidi="ar"/>
              </w:rPr>
              <w:t>3.同步推进装配化装修。</w:t>
            </w:r>
            <w:r>
              <w:rPr>
                <w:rStyle w:val="14"/>
                <w:rFonts w:hint="default" w:ascii="仿宋_GB2312" w:hAnsi="仿宋_GB2312" w:eastAsia="仿宋_GB2312" w:cs="仿宋_GB2312"/>
                <w:lang w:bidi="ar"/>
              </w:rPr>
              <w:t>在发展装配式建筑的同时，积极</w:t>
            </w:r>
            <w:r>
              <w:rPr>
                <w:rStyle w:val="14"/>
                <w:rFonts w:hint="eastAsia" w:ascii="仿宋_GB2312" w:hAnsi="仿宋_GB2312" w:eastAsia="仿宋_GB2312" w:cs="仿宋_GB2312"/>
                <w:lang w:eastAsia="zh-CN" w:bidi="ar"/>
              </w:rPr>
              <w:t>推</w:t>
            </w:r>
            <w:r>
              <w:rPr>
                <w:rStyle w:val="14"/>
                <w:rFonts w:hint="default" w:ascii="仿宋_GB2312" w:hAnsi="仿宋_GB2312" w:eastAsia="仿宋_GB2312" w:cs="仿宋_GB2312"/>
                <w:lang w:bidi="ar"/>
              </w:rPr>
              <w:t>广装配化装修方式，实施主体施工与装配化装修施工穿插作业，进一步提升装配施工的效率和工程品质，提高老百姓获得感。如</w:t>
            </w:r>
            <w:r>
              <w:rPr>
                <w:rStyle w:val="14"/>
                <w:rFonts w:hint="default" w:ascii="仿宋_GB2312" w:hAnsi="仿宋_GB2312" w:eastAsia="仿宋_GB2312" w:cs="仿宋_GB2312"/>
                <w:b/>
                <w:bCs/>
                <w:lang w:bidi="ar"/>
              </w:rPr>
              <w:t>江苏</w:t>
            </w:r>
            <w:r>
              <w:rPr>
                <w:rStyle w:val="14"/>
                <w:rFonts w:hint="default" w:ascii="仿宋_GB2312" w:hAnsi="仿宋_GB2312" w:eastAsia="仿宋_GB2312" w:cs="仿宋_GB2312"/>
                <w:lang w:bidi="ar"/>
              </w:rPr>
              <w:t>明确装配化装修的重点实施领域和实施比例要求，并分解下达到所辖区域，2021年装配化装修建筑占同期新开工成品住房面积比例超过10%</w:t>
            </w:r>
            <w:r>
              <w:rPr>
                <w:rStyle w:val="14"/>
                <w:rFonts w:hint="eastAsia" w:ascii="仿宋_GB2312" w:hAnsi="仿宋_GB2312" w:eastAsia="仿宋_GB2312" w:cs="仿宋_GB2312"/>
                <w:lang w:eastAsia="zh-CN" w:bidi="ar"/>
              </w:rPr>
              <w:t>；</w:t>
            </w:r>
            <w:r>
              <w:rPr>
                <w:rStyle w:val="13"/>
                <w:rFonts w:hint="default" w:ascii="仿宋_GB2312" w:hAnsi="仿宋_GB2312" w:eastAsia="仿宋_GB2312" w:cs="仿宋_GB2312"/>
                <w:lang w:bidi="ar"/>
              </w:rPr>
              <w:t>北京</w:t>
            </w:r>
            <w:r>
              <w:rPr>
                <w:rStyle w:val="13"/>
                <w:rFonts w:hint="default" w:ascii="仿宋_GB2312" w:hAnsi="仿宋_GB2312" w:eastAsia="仿宋_GB2312" w:cs="仿宋_GB2312"/>
                <w:b w:val="0"/>
                <w:bCs w:val="0"/>
                <w:lang w:bidi="ar"/>
              </w:rPr>
              <w:t>明确要求</w:t>
            </w:r>
            <w:r>
              <w:rPr>
                <w:rStyle w:val="14"/>
                <w:rFonts w:hint="default" w:ascii="仿宋_GB2312" w:hAnsi="仿宋_GB2312" w:eastAsia="仿宋_GB2312" w:cs="仿宋_GB2312"/>
                <w:lang w:bidi="ar"/>
              </w:rPr>
              <w:t>逐步提高保障性住房、商品住房和公共建筑的装配</w:t>
            </w:r>
            <w:r>
              <w:rPr>
                <w:rStyle w:val="14"/>
                <w:rFonts w:hint="eastAsia" w:ascii="仿宋_GB2312" w:hAnsi="仿宋_GB2312" w:eastAsia="仿宋_GB2312" w:cs="仿宋_GB2312"/>
                <w:lang w:eastAsia="zh-CN" w:bidi="ar"/>
              </w:rPr>
              <w:t>化</w:t>
            </w:r>
            <w:r>
              <w:rPr>
                <w:rStyle w:val="14"/>
                <w:rFonts w:hint="default" w:ascii="仿宋_GB2312" w:hAnsi="仿宋_GB2312" w:eastAsia="仿宋_GB2312" w:cs="仿宋_GB2312"/>
                <w:lang w:bidi="ar"/>
              </w:rPr>
              <w:t>装修比例，鼓励既有建筑采用装配</w:t>
            </w:r>
            <w:r>
              <w:rPr>
                <w:rStyle w:val="14"/>
                <w:rFonts w:hint="eastAsia" w:ascii="仿宋_GB2312" w:hAnsi="仿宋_GB2312" w:eastAsia="仿宋_GB2312" w:cs="仿宋_GB2312"/>
                <w:lang w:eastAsia="zh-CN" w:bidi="ar"/>
              </w:rPr>
              <w:t>化</w:t>
            </w:r>
            <w:r>
              <w:rPr>
                <w:rStyle w:val="14"/>
                <w:rFonts w:hint="default" w:ascii="仿宋_GB2312" w:hAnsi="仿宋_GB2312" w:eastAsia="仿宋_GB2312" w:cs="仿宋_GB2312"/>
                <w:lang w:bidi="ar"/>
              </w:rPr>
              <w:t>装修，显著降低室内维保报修率。</w:t>
            </w:r>
          </w:p>
        </w:tc>
      </w:tr>
      <w:tr>
        <w:tblPrEx>
          <w:tblLayout w:type="fixed"/>
          <w:tblCellMar>
            <w:top w:w="0" w:type="dxa"/>
            <w:left w:w="108" w:type="dxa"/>
            <w:bottom w:w="0" w:type="dxa"/>
            <w:right w:w="108" w:type="dxa"/>
          </w:tblCellMar>
        </w:tblPrEx>
        <w:trPr>
          <w:trHeight w:val="1560" w:hRule="atLeast"/>
        </w:trPr>
        <w:tc>
          <w:tcPr>
            <w:tcW w:w="810" w:type="dxa"/>
            <w:vMerge w:val="continue"/>
            <w:tcBorders>
              <w:top w:val="single" w:color="auto" w:sz="4" w:space="0"/>
              <w:left w:val="single" w:color="auto" w:sz="4" w:space="0"/>
              <w:bottom w:val="single" w:color="auto" w:sz="4" w:space="0"/>
              <w:right w:val="single" w:color="000000" w:sz="8" w:space="0"/>
            </w:tcBorders>
            <w:shd w:val="clear" w:color="auto" w:fill="auto"/>
            <w:vAlign w:val="center"/>
          </w:tcPr>
          <w:p>
            <w:pPr>
              <w:jc w:val="center"/>
              <w:rPr>
                <w:rFonts w:hint="eastAsia" w:ascii="黑体" w:hAnsi="黑体" w:eastAsia="黑体" w:cs="黑体"/>
                <w:color w:val="000000"/>
                <w:sz w:val="24"/>
              </w:rPr>
            </w:pPr>
          </w:p>
        </w:tc>
        <w:tc>
          <w:tcPr>
            <w:tcW w:w="1470" w:type="dxa"/>
            <w:vMerge w:val="continue"/>
            <w:tcBorders>
              <w:top w:val="single" w:color="auto" w:sz="4" w:space="0"/>
              <w:left w:val="single" w:color="000000" w:sz="8" w:space="0"/>
              <w:bottom w:val="single" w:color="auto" w:sz="4" w:space="0"/>
              <w:right w:val="single" w:color="000000" w:sz="8" w:space="0"/>
            </w:tcBorders>
            <w:shd w:val="clear" w:color="auto" w:fill="auto"/>
            <w:vAlign w:val="center"/>
          </w:tcPr>
          <w:p>
            <w:pPr>
              <w:jc w:val="center"/>
              <w:rPr>
                <w:rFonts w:hint="eastAsia" w:ascii="黑体" w:hAnsi="黑体" w:eastAsia="黑体" w:cs="黑体"/>
                <w:color w:val="000000"/>
                <w:sz w:val="24"/>
              </w:rPr>
            </w:pPr>
          </w:p>
        </w:tc>
        <w:tc>
          <w:tcPr>
            <w:tcW w:w="1985" w:type="dxa"/>
            <w:vMerge w:val="restart"/>
            <w:tcBorders>
              <w:top w:val="single" w:color="auto" w:sz="4" w:space="0"/>
              <w:left w:val="single" w:color="000000" w:sz="8" w:space="0"/>
              <w:bottom w:val="single" w:color="auto" w:sz="4" w:space="0"/>
              <w:right w:val="single" w:color="000000" w:sz="8" w:space="0"/>
            </w:tcBorders>
            <w:shd w:val="clear" w:color="auto" w:fill="auto"/>
            <w:vAlign w:val="center"/>
          </w:tcPr>
          <w:p>
            <w:pPr>
              <w:widowControl/>
              <w:jc w:val="center"/>
              <w:textAlignment w:val="center"/>
              <w:rPr>
                <w:rFonts w:hint="eastAsia" w:ascii="楷体_GB2312" w:hAnsi="楷体_GB2312" w:eastAsia="楷体_GB2312" w:cs="楷体_GB2312"/>
                <w:b w:val="0"/>
                <w:bCs w:val="0"/>
                <w:color w:val="FF0000"/>
                <w:sz w:val="24"/>
              </w:rPr>
            </w:pPr>
            <w:r>
              <w:rPr>
                <w:rFonts w:hint="eastAsia" w:ascii="楷体_GB2312" w:hAnsi="楷体_GB2312" w:eastAsia="楷体_GB2312" w:cs="楷体_GB2312"/>
                <w:b w:val="0"/>
                <w:bCs w:val="0"/>
                <w:kern w:val="0"/>
                <w:sz w:val="24"/>
                <w:lang w:bidi="ar"/>
              </w:rPr>
              <w:t>（二）推动技术发展</w:t>
            </w:r>
          </w:p>
        </w:tc>
        <w:tc>
          <w:tcPr>
            <w:tcW w:w="9174" w:type="dxa"/>
            <w:tcBorders>
              <w:top w:val="single" w:color="000000" w:sz="8" w:space="0"/>
              <w:left w:val="single" w:color="000000" w:sz="8" w:space="0"/>
              <w:bottom w:val="single" w:color="000000" w:sz="4" w:space="0"/>
              <w:right w:val="single" w:color="000000" w:sz="8" w:space="0"/>
            </w:tcBorders>
            <w:shd w:val="clear" w:color="auto" w:fill="auto"/>
            <w:vAlign w:val="center"/>
          </w:tcPr>
          <w:p>
            <w:pPr>
              <w:widowControl/>
              <w:textAlignment w:val="center"/>
              <w:rPr>
                <w:color w:val="FF0000"/>
              </w:rPr>
            </w:pPr>
            <w:r>
              <w:rPr>
                <w:rStyle w:val="14"/>
                <w:rFonts w:hint="default" w:ascii="仿宋_GB2312" w:hAnsi="仿宋_GB2312" w:eastAsia="仿宋_GB2312" w:cs="仿宋_GB2312"/>
                <w:b/>
                <w:bCs/>
                <w:color w:val="auto"/>
                <w:lang w:bidi="ar"/>
              </w:rPr>
              <w:t>1.攻关装配式建筑关键技术。</w:t>
            </w:r>
            <w:r>
              <w:rPr>
                <w:rStyle w:val="14"/>
                <w:rFonts w:hint="eastAsia" w:ascii="仿宋_GB2312" w:hAnsi="仿宋_GB2312" w:eastAsia="仿宋_GB2312" w:cs="仿宋_GB2312"/>
                <w:b w:val="0"/>
                <w:bCs w:val="0"/>
                <w:color w:val="auto"/>
                <w:lang w:eastAsia="zh-CN" w:bidi="ar"/>
              </w:rPr>
              <w:t>针对行业发展现状及当地实际，研究推动装配式建筑关键技术发展。如</w:t>
            </w:r>
            <w:r>
              <w:rPr>
                <w:rStyle w:val="14"/>
                <w:rFonts w:hint="eastAsia" w:ascii="仿宋_GB2312" w:hAnsi="仿宋_GB2312" w:eastAsia="仿宋_GB2312" w:cs="仿宋_GB2312"/>
                <w:b/>
                <w:bCs/>
                <w:color w:val="auto"/>
                <w:lang w:eastAsia="zh-CN" w:bidi="ar"/>
              </w:rPr>
              <w:t>四川</w:t>
            </w:r>
            <w:r>
              <w:rPr>
                <w:rStyle w:val="14"/>
                <w:rFonts w:hint="eastAsia" w:ascii="仿宋_GB2312" w:hAnsi="仿宋_GB2312" w:eastAsia="仿宋_GB2312" w:cs="仿宋_GB2312"/>
                <w:b w:val="0"/>
                <w:bCs w:val="0"/>
                <w:color w:val="auto"/>
                <w:lang w:eastAsia="zh-CN" w:bidi="ar"/>
              </w:rPr>
              <w:t>等地</w:t>
            </w:r>
            <w:r>
              <w:rPr>
                <w:rStyle w:val="14"/>
                <w:rFonts w:hint="default" w:ascii="仿宋_GB2312" w:hAnsi="仿宋_GB2312" w:eastAsia="仿宋_GB2312" w:cs="仿宋_GB2312"/>
                <w:color w:val="auto"/>
                <w:highlight w:val="none"/>
                <w:lang w:bidi="ar"/>
              </w:rPr>
              <w:t>研究应用剪力墙竖向钢筋</w:t>
            </w:r>
            <w:r>
              <w:rPr>
                <w:rStyle w:val="14"/>
                <w:rFonts w:ascii="仿宋_GB2312" w:hAnsi="仿宋_GB2312" w:eastAsia="仿宋_GB2312" w:cs="仿宋_GB2312"/>
                <w:color w:val="auto"/>
                <w:highlight w:val="none"/>
                <w:lang w:bidi="ar"/>
              </w:rPr>
              <w:t>与</w:t>
            </w:r>
            <w:r>
              <w:rPr>
                <w:rStyle w:val="14"/>
                <w:rFonts w:hint="default" w:ascii="仿宋_GB2312" w:hAnsi="仿宋_GB2312" w:eastAsia="仿宋_GB2312" w:cs="仿宋_GB2312"/>
                <w:color w:val="auto"/>
                <w:highlight w:val="none"/>
                <w:lang w:bidi="ar"/>
              </w:rPr>
              <w:t>边缘构件箍筋优化技术</w:t>
            </w:r>
            <w:r>
              <w:rPr>
                <w:rStyle w:val="14"/>
                <w:rFonts w:ascii="仿宋_GB2312" w:hAnsi="仿宋_GB2312" w:eastAsia="仿宋_GB2312" w:cs="仿宋_GB2312"/>
                <w:color w:val="auto"/>
                <w:highlight w:val="none"/>
                <w:lang w:eastAsia="zh-CN" w:bidi="ar"/>
              </w:rPr>
              <w:t>、</w:t>
            </w:r>
            <w:r>
              <w:rPr>
                <w:rStyle w:val="14"/>
                <w:rFonts w:ascii="仿宋_GB2312" w:hAnsi="仿宋_GB2312" w:eastAsia="仿宋_GB2312" w:cs="仿宋_GB2312"/>
                <w:color w:val="auto"/>
                <w:highlight w:val="none"/>
                <w:lang w:bidi="ar"/>
              </w:rPr>
              <w:t>现浇与预制转换部位装配式剪力墙安装定位技术</w:t>
            </w:r>
            <w:r>
              <w:rPr>
                <w:rStyle w:val="14"/>
                <w:rFonts w:hint="default" w:ascii="仿宋_GB2312" w:hAnsi="仿宋_GB2312" w:eastAsia="仿宋_GB2312" w:cs="仿宋_GB2312"/>
                <w:color w:val="auto"/>
                <w:highlight w:val="none"/>
                <w:lang w:bidi="ar"/>
              </w:rPr>
              <w:t>等</w:t>
            </w:r>
            <w:r>
              <w:rPr>
                <w:rStyle w:val="14"/>
                <w:rFonts w:hint="default" w:ascii="仿宋_GB2312" w:hAnsi="仿宋_GB2312" w:eastAsia="仿宋_GB2312" w:cs="仿宋_GB2312"/>
                <w:color w:val="auto"/>
                <w:highlight w:val="none"/>
                <w:lang w:eastAsia="zh-CN" w:bidi="ar"/>
              </w:rPr>
              <w:t>，</w:t>
            </w:r>
            <w:r>
              <w:rPr>
                <w:rStyle w:val="14"/>
                <w:rFonts w:hint="default" w:ascii="仿宋_GB2312" w:hAnsi="仿宋_GB2312" w:eastAsia="仿宋_GB2312" w:cs="仿宋_GB2312"/>
                <w:color w:val="auto"/>
                <w:highlight w:val="none"/>
                <w:lang w:bidi="ar"/>
              </w:rPr>
              <w:t>降低</w:t>
            </w:r>
            <w:r>
              <w:rPr>
                <w:rStyle w:val="14"/>
                <w:rFonts w:hint="eastAsia" w:ascii="仿宋_GB2312" w:hAnsi="仿宋_GB2312" w:eastAsia="仿宋_GB2312" w:cs="仿宋_GB2312"/>
                <w:color w:val="auto"/>
                <w:highlight w:val="none"/>
                <w:lang w:eastAsia="zh-CN" w:bidi="ar"/>
              </w:rPr>
              <w:t>连接装配</w:t>
            </w:r>
            <w:r>
              <w:rPr>
                <w:rStyle w:val="14"/>
                <w:rFonts w:hint="default" w:ascii="仿宋_GB2312" w:hAnsi="仿宋_GB2312" w:eastAsia="仿宋_GB2312" w:cs="仿宋_GB2312"/>
                <w:color w:val="auto"/>
                <w:highlight w:val="none"/>
                <w:lang w:bidi="ar"/>
              </w:rPr>
              <w:t>施工难度，提高安装</w:t>
            </w:r>
            <w:r>
              <w:rPr>
                <w:rStyle w:val="14"/>
                <w:rFonts w:ascii="仿宋_GB2312" w:hAnsi="仿宋_GB2312" w:eastAsia="仿宋_GB2312" w:cs="仿宋_GB2312"/>
                <w:color w:val="auto"/>
                <w:highlight w:val="none"/>
                <w:lang w:bidi="ar"/>
              </w:rPr>
              <w:t>效率</w:t>
            </w:r>
            <w:r>
              <w:rPr>
                <w:rStyle w:val="14"/>
                <w:rFonts w:ascii="仿宋_GB2312" w:hAnsi="仿宋_GB2312" w:eastAsia="仿宋_GB2312" w:cs="仿宋_GB2312"/>
                <w:color w:val="auto"/>
                <w:highlight w:val="none"/>
                <w:lang w:eastAsia="zh-CN" w:bidi="ar"/>
              </w:rPr>
              <w:t>；</w:t>
            </w:r>
            <w:r>
              <w:rPr>
                <w:rStyle w:val="14"/>
                <w:rFonts w:hint="eastAsia" w:ascii="仿宋_GB2312" w:hAnsi="仿宋_GB2312" w:eastAsia="仿宋_GB2312" w:cs="仿宋_GB2312"/>
                <w:b/>
                <w:bCs/>
                <w:color w:val="auto"/>
                <w:highlight w:val="none"/>
                <w:lang w:eastAsia="zh-CN" w:bidi="ar"/>
              </w:rPr>
              <w:t>北京、上海、江苏</w:t>
            </w:r>
            <w:r>
              <w:rPr>
                <w:rStyle w:val="14"/>
                <w:rFonts w:hint="eastAsia" w:ascii="仿宋_GB2312" w:hAnsi="仿宋_GB2312" w:eastAsia="仿宋_GB2312" w:cs="仿宋_GB2312"/>
                <w:b w:val="0"/>
                <w:bCs w:val="0"/>
                <w:color w:val="auto"/>
                <w:highlight w:val="none"/>
                <w:lang w:eastAsia="zh-CN" w:bidi="ar"/>
              </w:rPr>
              <w:t>等地</w:t>
            </w:r>
            <w:r>
              <w:rPr>
                <w:rStyle w:val="14"/>
                <w:rFonts w:hint="eastAsia" w:ascii="仿宋_GB2312" w:hAnsi="仿宋_GB2312" w:eastAsia="仿宋_GB2312" w:cs="仿宋_GB2312"/>
                <w:color w:val="auto"/>
                <w:highlight w:val="none"/>
                <w:lang w:eastAsia="zh-CN" w:bidi="ar"/>
              </w:rPr>
              <w:t>研发应用可靠</w:t>
            </w:r>
            <w:r>
              <w:rPr>
                <w:rStyle w:val="14"/>
                <w:rFonts w:hint="default" w:ascii="仿宋_GB2312" w:hAnsi="仿宋_GB2312" w:eastAsia="仿宋_GB2312" w:cs="仿宋_GB2312"/>
                <w:color w:val="auto"/>
                <w:highlight w:val="none"/>
                <w:lang w:bidi="ar"/>
              </w:rPr>
              <w:t>的套筒灌浆饱满度监测</w:t>
            </w:r>
            <w:r>
              <w:rPr>
                <w:rStyle w:val="14"/>
                <w:rFonts w:hint="eastAsia" w:ascii="仿宋_GB2312" w:hAnsi="仿宋_GB2312" w:eastAsia="仿宋_GB2312" w:cs="仿宋_GB2312"/>
                <w:color w:val="auto"/>
                <w:highlight w:val="none"/>
                <w:lang w:eastAsia="zh-CN" w:bidi="ar"/>
              </w:rPr>
              <w:t>技术</w:t>
            </w:r>
            <w:r>
              <w:rPr>
                <w:rStyle w:val="14"/>
                <w:rFonts w:hint="default" w:ascii="仿宋_GB2312" w:hAnsi="仿宋_GB2312" w:eastAsia="仿宋_GB2312" w:cs="仿宋_GB2312"/>
                <w:color w:val="auto"/>
                <w:highlight w:val="none"/>
                <w:lang w:bidi="ar"/>
              </w:rPr>
              <w:t>，</w:t>
            </w:r>
            <w:r>
              <w:rPr>
                <w:rStyle w:val="14"/>
                <w:rFonts w:hint="eastAsia" w:ascii="仿宋_GB2312" w:hAnsi="仿宋_GB2312" w:eastAsia="仿宋_GB2312" w:cs="仿宋_GB2312"/>
                <w:color w:val="auto"/>
                <w:highlight w:val="none"/>
                <w:lang w:eastAsia="zh-CN" w:bidi="ar"/>
              </w:rPr>
              <w:t>如套筒灌浆饱满度</w:t>
            </w:r>
            <w:r>
              <w:rPr>
                <w:rStyle w:val="14"/>
                <w:rFonts w:hint="eastAsia" w:ascii="仿宋_GB2312" w:hAnsi="仿宋_GB2312" w:eastAsia="仿宋_GB2312" w:cs="仿宋_GB2312"/>
                <w:color w:val="auto"/>
                <w:highlight w:val="none"/>
                <w:lang w:val="en-US" w:eastAsia="zh-CN" w:bidi="ar"/>
              </w:rPr>
              <w:t>L型检测器、钻孔内窥镜法、X射线数字成像法等</w:t>
            </w:r>
            <w:r>
              <w:rPr>
                <w:rStyle w:val="14"/>
                <w:rFonts w:hint="default" w:ascii="仿宋_GB2312" w:hAnsi="仿宋_GB2312" w:eastAsia="仿宋_GB2312" w:cs="仿宋_GB2312"/>
                <w:color w:val="auto"/>
                <w:highlight w:val="none"/>
                <w:lang w:bidi="ar"/>
              </w:rPr>
              <w:t>，</w:t>
            </w:r>
            <w:r>
              <w:rPr>
                <w:rStyle w:val="14"/>
                <w:rFonts w:hint="eastAsia" w:ascii="仿宋_GB2312" w:hAnsi="仿宋_GB2312" w:eastAsia="仿宋_GB2312" w:cs="仿宋_GB2312"/>
                <w:color w:val="auto"/>
                <w:highlight w:val="none"/>
                <w:lang w:eastAsia="zh-CN" w:bidi="ar"/>
              </w:rPr>
              <w:t>实现</w:t>
            </w:r>
            <w:r>
              <w:rPr>
                <w:rStyle w:val="14"/>
                <w:rFonts w:hint="default" w:ascii="仿宋_GB2312" w:hAnsi="仿宋_GB2312" w:eastAsia="仿宋_GB2312" w:cs="仿宋_GB2312"/>
                <w:color w:val="auto"/>
                <w:highlight w:val="none"/>
                <w:lang w:bidi="ar"/>
              </w:rPr>
              <w:t>快速无损监测灌浆质量，解决灌浆不密实问题</w:t>
            </w:r>
            <w:r>
              <w:rPr>
                <w:rStyle w:val="14"/>
                <w:rFonts w:hint="eastAsia" w:ascii="仿宋_GB2312" w:hAnsi="仿宋_GB2312" w:eastAsia="仿宋_GB2312" w:cs="仿宋_GB2312"/>
                <w:color w:val="auto"/>
                <w:highlight w:val="none"/>
                <w:lang w:eastAsia="zh-CN" w:bidi="ar"/>
              </w:rPr>
              <w:t>；</w:t>
            </w:r>
            <w:r>
              <w:rPr>
                <w:rStyle w:val="14"/>
                <w:rFonts w:hint="eastAsia" w:ascii="仿宋_GB2312" w:hAnsi="仿宋_GB2312" w:eastAsia="仿宋_GB2312" w:cs="仿宋_GB2312"/>
                <w:b/>
                <w:bCs/>
                <w:color w:val="auto"/>
                <w:highlight w:val="none"/>
                <w:lang w:eastAsia="zh-CN" w:bidi="ar"/>
              </w:rPr>
              <w:t>上海</w:t>
            </w:r>
            <w:r>
              <w:rPr>
                <w:rStyle w:val="14"/>
                <w:rFonts w:hint="eastAsia" w:ascii="仿宋_GB2312" w:hAnsi="仿宋_GB2312" w:eastAsia="仿宋_GB2312" w:cs="仿宋_GB2312"/>
                <w:color w:val="auto"/>
                <w:highlight w:val="none"/>
                <w:lang w:eastAsia="zh-CN" w:bidi="ar"/>
              </w:rPr>
              <w:t>等地</w:t>
            </w:r>
            <w:r>
              <w:rPr>
                <w:rStyle w:val="14"/>
                <w:rFonts w:hint="default" w:ascii="仿宋_GB2312" w:hAnsi="仿宋_GB2312" w:eastAsia="仿宋_GB2312" w:cs="仿宋_GB2312"/>
                <w:color w:val="auto"/>
                <w:highlight w:val="none"/>
                <w:lang w:bidi="ar"/>
              </w:rPr>
              <w:t>研发装配式建筑减隔震技术，提升抗震性能</w:t>
            </w:r>
            <w:r>
              <w:rPr>
                <w:rStyle w:val="14"/>
                <w:rFonts w:hint="eastAsia" w:ascii="仿宋_GB2312" w:hAnsi="仿宋_GB2312" w:eastAsia="仿宋_GB2312" w:cs="仿宋_GB2312"/>
                <w:color w:val="auto"/>
                <w:highlight w:val="none"/>
                <w:lang w:eastAsia="zh-CN" w:bidi="ar"/>
              </w:rPr>
              <w:t>；</w:t>
            </w:r>
            <w:r>
              <w:rPr>
                <w:rStyle w:val="14"/>
                <w:rFonts w:hint="eastAsia" w:ascii="仿宋_GB2312" w:hAnsi="仿宋_GB2312" w:eastAsia="仿宋_GB2312" w:cs="仿宋_GB2312"/>
                <w:b/>
                <w:bCs/>
                <w:color w:val="auto"/>
                <w:highlight w:val="none"/>
                <w:lang w:eastAsia="zh-CN" w:bidi="ar"/>
              </w:rPr>
              <w:t>浙江</w:t>
            </w:r>
            <w:r>
              <w:rPr>
                <w:rStyle w:val="14"/>
                <w:rFonts w:hint="eastAsia" w:ascii="仿宋_GB2312" w:hAnsi="仿宋_GB2312" w:eastAsia="仿宋_GB2312" w:cs="仿宋_GB2312"/>
                <w:b w:val="0"/>
                <w:bCs w:val="0"/>
                <w:color w:val="auto"/>
                <w:highlight w:val="none"/>
                <w:lang w:eastAsia="zh-CN" w:bidi="ar"/>
              </w:rPr>
              <w:t>等地</w:t>
            </w:r>
            <w:r>
              <w:rPr>
                <w:rStyle w:val="14"/>
                <w:rFonts w:hint="eastAsia" w:ascii="仿宋_GB2312" w:hAnsi="仿宋_GB2312" w:eastAsia="仿宋_GB2312" w:cs="仿宋_GB2312"/>
                <w:color w:val="auto"/>
                <w:highlight w:val="none"/>
                <w:lang w:eastAsia="zh-CN" w:bidi="ar"/>
              </w:rPr>
              <w:t>研发解决钢结构建筑防火、防腐、防渗等关键技术，提高钢结构建筑的耐久性和舒适度</w:t>
            </w:r>
            <w:r>
              <w:rPr>
                <w:rStyle w:val="14"/>
                <w:rFonts w:hint="default" w:ascii="仿宋_GB2312" w:hAnsi="仿宋_GB2312" w:eastAsia="仿宋_GB2312" w:cs="仿宋_GB2312"/>
                <w:color w:val="auto"/>
                <w:lang w:bidi="ar"/>
              </w:rPr>
              <w:t>。</w:t>
            </w:r>
          </w:p>
        </w:tc>
      </w:tr>
      <w:tr>
        <w:tblPrEx>
          <w:tblLayout w:type="fixed"/>
        </w:tblPrEx>
        <w:trPr>
          <w:trHeight w:val="1540" w:hRule="atLeast"/>
        </w:trPr>
        <w:tc>
          <w:tcPr>
            <w:tcW w:w="810" w:type="dxa"/>
            <w:vMerge w:val="continue"/>
            <w:tcBorders>
              <w:top w:val="single" w:color="auto" w:sz="4" w:space="0"/>
              <w:left w:val="single" w:color="auto" w:sz="4" w:space="0"/>
              <w:bottom w:val="single" w:color="auto" w:sz="4" w:space="0"/>
              <w:right w:val="single" w:color="000000" w:sz="8" w:space="0"/>
            </w:tcBorders>
            <w:shd w:val="clear" w:color="auto" w:fill="auto"/>
            <w:vAlign w:val="center"/>
          </w:tcPr>
          <w:p>
            <w:pPr>
              <w:jc w:val="center"/>
              <w:rPr>
                <w:rFonts w:hint="eastAsia" w:ascii="黑体" w:hAnsi="黑体" w:eastAsia="黑体" w:cs="黑体"/>
                <w:color w:val="000000"/>
                <w:sz w:val="24"/>
              </w:rPr>
            </w:pPr>
          </w:p>
        </w:tc>
        <w:tc>
          <w:tcPr>
            <w:tcW w:w="1470" w:type="dxa"/>
            <w:vMerge w:val="continue"/>
            <w:tcBorders>
              <w:top w:val="single" w:color="auto" w:sz="4" w:space="0"/>
              <w:left w:val="single" w:color="000000" w:sz="8" w:space="0"/>
              <w:bottom w:val="single" w:color="auto" w:sz="4" w:space="0"/>
              <w:right w:val="single" w:color="000000" w:sz="8" w:space="0"/>
            </w:tcBorders>
            <w:shd w:val="clear" w:color="auto" w:fill="auto"/>
            <w:vAlign w:val="center"/>
          </w:tcPr>
          <w:p>
            <w:pPr>
              <w:jc w:val="center"/>
              <w:rPr>
                <w:rFonts w:hint="eastAsia" w:ascii="黑体" w:hAnsi="黑体" w:eastAsia="黑体" w:cs="黑体"/>
                <w:color w:val="000000"/>
                <w:sz w:val="24"/>
              </w:rPr>
            </w:pPr>
          </w:p>
        </w:tc>
        <w:tc>
          <w:tcPr>
            <w:tcW w:w="1985" w:type="dxa"/>
            <w:vMerge w:val="continue"/>
            <w:tcBorders>
              <w:top w:val="single" w:color="auto" w:sz="4" w:space="0"/>
              <w:left w:val="single" w:color="000000" w:sz="8" w:space="0"/>
              <w:bottom w:val="single" w:color="auto" w:sz="4" w:space="0"/>
              <w:right w:val="single" w:color="000000" w:sz="8" w:space="0"/>
            </w:tcBorders>
            <w:shd w:val="clear" w:color="auto" w:fill="auto"/>
            <w:vAlign w:val="center"/>
          </w:tcPr>
          <w:p>
            <w:pPr>
              <w:jc w:val="center"/>
              <w:rPr>
                <w:rFonts w:hint="eastAsia" w:ascii="楷体_GB2312" w:hAnsi="楷体_GB2312" w:eastAsia="楷体_GB2312" w:cs="楷体_GB2312"/>
                <w:b w:val="0"/>
                <w:bCs w:val="0"/>
                <w:color w:val="FF0000"/>
                <w:sz w:val="24"/>
              </w:rPr>
            </w:pPr>
          </w:p>
        </w:tc>
        <w:tc>
          <w:tcPr>
            <w:tcW w:w="9174" w:type="dxa"/>
            <w:tcBorders>
              <w:top w:val="single" w:color="000000" w:sz="4" w:space="0"/>
              <w:left w:val="single" w:color="000000" w:sz="8" w:space="0"/>
              <w:bottom w:val="single" w:color="000000" w:sz="4" w:space="0"/>
              <w:right w:val="single" w:color="000000" w:sz="8" w:space="0"/>
            </w:tcBorders>
            <w:shd w:val="clear" w:color="auto" w:fill="auto"/>
            <w:vAlign w:val="center"/>
          </w:tcPr>
          <w:p>
            <w:pPr>
              <w:widowControl/>
              <w:jc w:val="left"/>
              <w:textAlignment w:val="center"/>
              <w:rPr>
                <w:rFonts w:ascii="仿宋" w:hAnsi="仿宋" w:eastAsia="仿宋" w:cs="仿宋"/>
                <w:color w:val="FF0000"/>
                <w:sz w:val="24"/>
              </w:rPr>
            </w:pPr>
            <w:r>
              <w:rPr>
                <w:rStyle w:val="13"/>
                <w:rFonts w:hint="default" w:ascii="仿宋_GB2312" w:hAnsi="仿宋_GB2312" w:eastAsia="仿宋_GB2312" w:cs="仿宋_GB2312"/>
                <w:color w:val="auto"/>
                <w:lang w:bidi="ar"/>
              </w:rPr>
              <w:t>2、推广成熟适用的技术产品。</w:t>
            </w:r>
            <w:r>
              <w:rPr>
                <w:rStyle w:val="13"/>
                <w:rFonts w:hint="default" w:ascii="仿宋_GB2312" w:hAnsi="仿宋_GB2312" w:eastAsia="仿宋_GB2312" w:cs="仿宋_GB2312"/>
                <w:b w:val="0"/>
                <w:bCs w:val="0"/>
                <w:color w:val="auto"/>
                <w:lang w:bidi="ar"/>
              </w:rPr>
              <w:t>发布技术指南、技术公告、技术创新目录、适用技术推广目录和应用技术系列手册等，明确重点推广的成熟技术体系和新技术、新产品、新工艺。如</w:t>
            </w:r>
            <w:r>
              <w:rPr>
                <w:rStyle w:val="13"/>
                <w:rFonts w:hint="default" w:ascii="仿宋_GB2312" w:hAnsi="仿宋_GB2312" w:eastAsia="仿宋_GB2312" w:cs="仿宋_GB2312"/>
                <w:color w:val="auto"/>
                <w:lang w:bidi="ar"/>
              </w:rPr>
              <w:t>北京</w:t>
            </w:r>
            <w:r>
              <w:rPr>
                <w:rStyle w:val="13"/>
                <w:rFonts w:hint="default" w:ascii="仿宋_GB2312" w:hAnsi="仿宋_GB2312" w:eastAsia="仿宋_GB2312" w:cs="仿宋_GB2312"/>
                <w:b w:val="0"/>
                <w:bCs w:val="0"/>
                <w:color w:val="auto"/>
                <w:lang w:bidi="ar"/>
              </w:rPr>
              <w:t>发布绿色建筑和装配式建筑适用技术推广目录，推广预制混凝土夹芯保温外墙板</w:t>
            </w:r>
            <w:r>
              <w:rPr>
                <w:rStyle w:val="13"/>
                <w:rFonts w:hint="eastAsia" w:ascii="仿宋_GB2312" w:hAnsi="仿宋_GB2312" w:eastAsia="仿宋_GB2312" w:cs="仿宋_GB2312"/>
                <w:b w:val="0"/>
                <w:bCs w:val="0"/>
                <w:color w:val="auto"/>
                <w:lang w:eastAsia="zh-CN" w:bidi="ar"/>
              </w:rPr>
              <w:t>、</w:t>
            </w:r>
            <w:r>
              <w:rPr>
                <w:rStyle w:val="13"/>
                <w:rFonts w:hint="default" w:ascii="仿宋_GB2312" w:hAnsi="仿宋_GB2312" w:eastAsia="仿宋_GB2312" w:cs="仿宋_GB2312"/>
                <w:b w:val="0"/>
                <w:bCs w:val="0"/>
                <w:color w:val="auto"/>
                <w:lang w:bidi="ar"/>
              </w:rPr>
              <w:t>预制PCF板；</w:t>
            </w:r>
            <w:r>
              <w:rPr>
                <w:rStyle w:val="13"/>
                <w:rFonts w:hint="default" w:ascii="仿宋_GB2312" w:hAnsi="仿宋_GB2312" w:eastAsia="仿宋_GB2312" w:cs="仿宋_GB2312"/>
                <w:color w:val="auto"/>
                <w:lang w:bidi="ar"/>
              </w:rPr>
              <w:t>上海</w:t>
            </w:r>
            <w:r>
              <w:rPr>
                <w:rStyle w:val="13"/>
                <w:rFonts w:hint="default" w:ascii="仿宋_GB2312" w:hAnsi="仿宋_GB2312" w:eastAsia="仿宋_GB2312" w:cs="仿宋_GB2312"/>
                <w:b w:val="0"/>
                <w:bCs w:val="0"/>
                <w:color w:val="auto"/>
                <w:lang w:bidi="ar"/>
              </w:rPr>
              <w:t>发布装配式建筑技术创新目录，推广预制外墙、保温体系一体化等新材料、新工艺；</w:t>
            </w:r>
            <w:r>
              <w:rPr>
                <w:rStyle w:val="13"/>
                <w:rFonts w:hint="default" w:ascii="仿宋_GB2312" w:hAnsi="仿宋_GB2312" w:eastAsia="仿宋_GB2312" w:cs="仿宋_GB2312"/>
                <w:color w:val="auto"/>
                <w:lang w:bidi="ar"/>
              </w:rPr>
              <w:t>山东</w:t>
            </w:r>
            <w:r>
              <w:rPr>
                <w:rStyle w:val="13"/>
                <w:rFonts w:hint="default" w:ascii="仿宋_GB2312" w:hAnsi="仿宋_GB2312" w:eastAsia="仿宋_GB2312" w:cs="仿宋_GB2312"/>
                <w:b w:val="0"/>
                <w:bCs w:val="0"/>
                <w:color w:val="auto"/>
                <w:lang w:bidi="ar"/>
              </w:rPr>
              <w:t>发布《装配整体式混凝土结构体系推广应用技术公告》《山东省装配式钢结构体系推广应用技术目录》，推广应用预应力叠合板、钢框架-延性墙板（屈曲约束钢板剪力墙）等。</w:t>
            </w:r>
          </w:p>
        </w:tc>
      </w:tr>
      <w:tr>
        <w:tblPrEx>
          <w:tblLayout w:type="fixed"/>
          <w:tblCellMar>
            <w:top w:w="0" w:type="dxa"/>
            <w:left w:w="108" w:type="dxa"/>
            <w:bottom w:w="0" w:type="dxa"/>
            <w:right w:w="108" w:type="dxa"/>
          </w:tblCellMar>
        </w:tblPrEx>
        <w:trPr>
          <w:trHeight w:val="1521" w:hRule="atLeast"/>
        </w:trPr>
        <w:tc>
          <w:tcPr>
            <w:tcW w:w="810" w:type="dxa"/>
            <w:vMerge w:val="continue"/>
            <w:tcBorders>
              <w:top w:val="single" w:color="auto" w:sz="4" w:space="0"/>
              <w:left w:val="single" w:color="auto" w:sz="4" w:space="0"/>
              <w:bottom w:val="single" w:color="auto" w:sz="4" w:space="0"/>
              <w:right w:val="single" w:color="000000" w:sz="8" w:space="0"/>
            </w:tcBorders>
            <w:shd w:val="clear" w:color="auto" w:fill="auto"/>
            <w:vAlign w:val="center"/>
          </w:tcPr>
          <w:p>
            <w:pPr>
              <w:jc w:val="center"/>
              <w:rPr>
                <w:rFonts w:hint="eastAsia" w:ascii="黑体" w:hAnsi="黑体" w:eastAsia="黑体" w:cs="黑体"/>
                <w:color w:val="000000"/>
                <w:sz w:val="24"/>
              </w:rPr>
            </w:pPr>
          </w:p>
        </w:tc>
        <w:tc>
          <w:tcPr>
            <w:tcW w:w="1470" w:type="dxa"/>
            <w:vMerge w:val="continue"/>
            <w:tcBorders>
              <w:top w:val="single" w:color="auto" w:sz="4" w:space="0"/>
              <w:left w:val="single" w:color="000000" w:sz="8" w:space="0"/>
              <w:bottom w:val="single" w:color="auto" w:sz="4" w:space="0"/>
              <w:right w:val="single" w:color="000000" w:sz="8" w:space="0"/>
            </w:tcBorders>
            <w:shd w:val="clear" w:color="auto" w:fill="auto"/>
            <w:vAlign w:val="center"/>
          </w:tcPr>
          <w:p>
            <w:pPr>
              <w:jc w:val="center"/>
              <w:rPr>
                <w:rFonts w:hint="eastAsia" w:ascii="黑体" w:hAnsi="黑体" w:eastAsia="黑体" w:cs="黑体"/>
                <w:color w:val="000000"/>
                <w:sz w:val="24"/>
              </w:rPr>
            </w:pPr>
          </w:p>
        </w:tc>
        <w:tc>
          <w:tcPr>
            <w:tcW w:w="1985" w:type="dxa"/>
            <w:vMerge w:val="continue"/>
            <w:tcBorders>
              <w:top w:val="single" w:color="auto" w:sz="4" w:space="0"/>
              <w:left w:val="single" w:color="000000" w:sz="8" w:space="0"/>
              <w:bottom w:val="single" w:color="auto" w:sz="4" w:space="0"/>
              <w:right w:val="single" w:color="000000" w:sz="8" w:space="0"/>
            </w:tcBorders>
            <w:shd w:val="clear" w:color="auto" w:fill="auto"/>
            <w:vAlign w:val="center"/>
          </w:tcPr>
          <w:p>
            <w:pPr>
              <w:jc w:val="center"/>
              <w:rPr>
                <w:rFonts w:hint="eastAsia" w:ascii="楷体_GB2312" w:hAnsi="楷体_GB2312" w:eastAsia="楷体_GB2312" w:cs="楷体_GB2312"/>
                <w:b w:val="0"/>
                <w:bCs w:val="0"/>
                <w:color w:val="FF0000"/>
                <w:sz w:val="24"/>
              </w:rPr>
            </w:pPr>
          </w:p>
        </w:tc>
        <w:tc>
          <w:tcPr>
            <w:tcW w:w="9174" w:type="dxa"/>
            <w:tcBorders>
              <w:top w:val="single" w:color="000000" w:sz="4" w:space="0"/>
              <w:left w:val="single" w:color="000000" w:sz="8" w:space="0"/>
              <w:bottom w:val="single" w:color="000000" w:sz="8" w:space="0"/>
              <w:right w:val="single" w:color="000000" w:sz="8" w:space="0"/>
            </w:tcBorders>
            <w:shd w:val="clear" w:color="auto" w:fill="auto"/>
            <w:vAlign w:val="center"/>
          </w:tcPr>
          <w:p>
            <w:pPr>
              <w:widowControl/>
              <w:jc w:val="left"/>
              <w:textAlignment w:val="center"/>
              <w:rPr>
                <w:rFonts w:ascii="仿宋" w:hAnsi="仿宋" w:eastAsia="仿宋" w:cs="仿宋"/>
                <w:color w:val="FF0000"/>
                <w:sz w:val="24"/>
              </w:rPr>
            </w:pPr>
            <w:r>
              <w:rPr>
                <w:rStyle w:val="13"/>
                <w:rFonts w:hint="default" w:ascii="仿宋_GB2312" w:hAnsi="仿宋_GB2312" w:eastAsia="仿宋_GB2312" w:cs="仿宋_GB2312"/>
                <w:color w:val="auto"/>
                <w:lang w:bidi="ar"/>
              </w:rPr>
              <w:t>3、建立“产学研用”协同平台。</w:t>
            </w:r>
            <w:r>
              <w:rPr>
                <w:rStyle w:val="13"/>
                <w:rFonts w:hint="eastAsia" w:ascii="仿宋_GB2312" w:hAnsi="仿宋_GB2312" w:eastAsia="仿宋_GB2312" w:cs="仿宋_GB2312"/>
                <w:b w:val="0"/>
                <w:bCs w:val="0"/>
                <w:color w:val="auto"/>
                <w:lang w:eastAsia="zh-CN" w:bidi="ar"/>
              </w:rPr>
              <w:t>组织当地科研院所和龙头企业，搭建协同平台，推动装配式建筑“产学研用”一体化发展。如</w:t>
            </w:r>
            <w:r>
              <w:rPr>
                <w:rStyle w:val="14"/>
                <w:rFonts w:hint="default" w:ascii="仿宋_GB2312" w:hAnsi="仿宋_GB2312" w:eastAsia="仿宋_GB2312" w:cs="仿宋_GB2312"/>
                <w:b/>
                <w:bCs/>
                <w:color w:val="auto"/>
                <w:lang w:bidi="ar"/>
              </w:rPr>
              <w:t>安徽</w:t>
            </w:r>
            <w:r>
              <w:rPr>
                <w:rStyle w:val="14"/>
                <w:rFonts w:hint="default" w:ascii="仿宋_GB2312" w:hAnsi="仿宋_GB2312" w:eastAsia="仿宋_GB2312" w:cs="仿宋_GB2312"/>
                <w:color w:val="auto"/>
                <w:lang w:bidi="ar"/>
              </w:rPr>
              <w:t>支持</w:t>
            </w:r>
            <w:r>
              <w:rPr>
                <w:rStyle w:val="14"/>
                <w:rFonts w:hint="eastAsia" w:ascii="仿宋_GB2312" w:hAnsi="仿宋_GB2312" w:eastAsia="仿宋_GB2312" w:cs="仿宋_GB2312"/>
                <w:color w:val="auto"/>
                <w:lang w:eastAsia="zh-CN" w:bidi="ar"/>
              </w:rPr>
              <w:t>科研院所</w:t>
            </w:r>
            <w:r>
              <w:rPr>
                <w:rStyle w:val="14"/>
                <w:rFonts w:hint="default" w:ascii="仿宋_GB2312" w:hAnsi="仿宋_GB2312" w:eastAsia="仿宋_GB2312" w:cs="仿宋_GB2312"/>
                <w:color w:val="auto"/>
                <w:lang w:bidi="ar"/>
              </w:rPr>
              <w:t>、</w:t>
            </w:r>
            <w:r>
              <w:rPr>
                <w:rStyle w:val="14"/>
                <w:rFonts w:hint="eastAsia" w:ascii="仿宋_GB2312" w:hAnsi="仿宋_GB2312" w:eastAsia="仿宋_GB2312" w:cs="仿宋_GB2312"/>
                <w:color w:val="auto"/>
                <w:lang w:eastAsia="zh-CN" w:bidi="ar"/>
              </w:rPr>
              <w:t>高等院校</w:t>
            </w:r>
            <w:r>
              <w:rPr>
                <w:rStyle w:val="14"/>
                <w:rFonts w:hint="default" w:ascii="仿宋_GB2312" w:hAnsi="仿宋_GB2312" w:eastAsia="仿宋_GB2312" w:cs="仿宋_GB2312"/>
                <w:color w:val="auto"/>
                <w:lang w:bidi="ar"/>
              </w:rPr>
              <w:t>和相关企业，建立产学研技术平台，开展专项技术研究</w:t>
            </w:r>
            <w:r>
              <w:rPr>
                <w:rStyle w:val="14"/>
                <w:rFonts w:hint="eastAsia" w:ascii="仿宋_GB2312" w:hAnsi="仿宋_GB2312" w:eastAsia="仿宋_GB2312" w:cs="仿宋_GB2312"/>
                <w:color w:val="auto"/>
                <w:lang w:eastAsia="zh-CN" w:bidi="ar"/>
              </w:rPr>
              <w:t>；</w:t>
            </w:r>
            <w:r>
              <w:rPr>
                <w:rStyle w:val="14"/>
                <w:rFonts w:hint="default" w:ascii="仿宋_GB2312" w:hAnsi="仿宋_GB2312" w:eastAsia="仿宋_GB2312" w:cs="仿宋_GB2312"/>
                <w:b/>
                <w:bCs/>
                <w:color w:val="auto"/>
                <w:lang w:bidi="ar"/>
              </w:rPr>
              <w:t>河南</w:t>
            </w:r>
            <w:r>
              <w:rPr>
                <w:rStyle w:val="14"/>
                <w:rFonts w:hint="default" w:ascii="仿宋_GB2312" w:hAnsi="仿宋_GB2312" w:eastAsia="仿宋_GB2312" w:cs="仿宋_GB2312"/>
                <w:color w:val="auto"/>
                <w:lang w:bidi="ar"/>
              </w:rPr>
              <w:t>联合科研院所与开发、设计、生产、施工等企业，组建产业发展协会，共同开展技术交流，实现协同发展</w:t>
            </w:r>
            <w:r>
              <w:rPr>
                <w:rStyle w:val="14"/>
                <w:rFonts w:hint="eastAsia" w:ascii="仿宋_GB2312" w:hAnsi="仿宋_GB2312" w:eastAsia="仿宋_GB2312" w:cs="仿宋_GB2312"/>
                <w:color w:val="auto"/>
                <w:lang w:eastAsia="zh-CN" w:bidi="ar"/>
              </w:rPr>
              <w:t>；</w:t>
            </w:r>
            <w:r>
              <w:rPr>
                <w:rStyle w:val="14"/>
                <w:rFonts w:hint="eastAsia" w:ascii="仿宋_GB2312" w:hAnsi="仿宋_GB2312" w:eastAsia="仿宋_GB2312" w:cs="仿宋_GB2312"/>
                <w:b/>
                <w:bCs/>
                <w:color w:val="auto"/>
                <w:lang w:eastAsia="zh-CN" w:bidi="ar"/>
              </w:rPr>
              <w:t>浙江</w:t>
            </w:r>
            <w:r>
              <w:rPr>
                <w:rStyle w:val="14"/>
                <w:rFonts w:hint="default" w:ascii="仿宋_GB2312" w:hAnsi="仿宋_GB2312" w:eastAsia="仿宋_GB2312" w:cs="仿宋_GB2312"/>
                <w:b/>
                <w:bCs/>
                <w:color w:val="auto"/>
                <w:lang w:bidi="ar"/>
              </w:rPr>
              <w:t>宁波</w:t>
            </w:r>
            <w:r>
              <w:rPr>
                <w:rStyle w:val="14"/>
                <w:rFonts w:hint="eastAsia" w:ascii="仿宋_GB2312" w:hAnsi="仿宋_GB2312" w:eastAsia="仿宋_GB2312" w:cs="仿宋_GB2312"/>
                <w:color w:val="auto"/>
                <w:lang w:eastAsia="zh-CN" w:bidi="ar"/>
              </w:rPr>
              <w:t>推动</w:t>
            </w:r>
            <w:r>
              <w:rPr>
                <w:rFonts w:hint="eastAsia" w:ascii="仿宋_GB2312" w:hAnsi="仿宋_GB2312" w:eastAsia="仿宋_GB2312" w:cs="仿宋_GB2312"/>
                <w:sz w:val="24"/>
              </w:rPr>
              <w:t>外地先进企业与本地企业强强合作，成立装配式建筑产业联盟，促进各方形成“产学研</w:t>
            </w:r>
            <w:r>
              <w:rPr>
                <w:rFonts w:hint="eastAsia" w:ascii="仿宋_GB2312" w:hAnsi="仿宋_GB2312" w:eastAsia="仿宋_GB2312" w:cs="仿宋_GB2312"/>
                <w:sz w:val="24"/>
                <w:lang w:eastAsia="zh-CN"/>
              </w:rPr>
              <w:t>用</w:t>
            </w:r>
            <w:r>
              <w:rPr>
                <w:rFonts w:hint="eastAsia" w:ascii="仿宋_GB2312" w:hAnsi="仿宋_GB2312" w:eastAsia="仿宋_GB2312" w:cs="仿宋_GB2312"/>
                <w:sz w:val="24"/>
              </w:rPr>
              <w:t>”合作共识，全面提升装配式建筑产业发展综合竞争力。</w:t>
            </w:r>
          </w:p>
        </w:tc>
      </w:tr>
      <w:tr>
        <w:tblPrEx>
          <w:tblLayout w:type="fixed"/>
          <w:tblCellMar>
            <w:top w:w="0" w:type="dxa"/>
            <w:left w:w="108" w:type="dxa"/>
            <w:bottom w:w="0" w:type="dxa"/>
            <w:right w:w="108" w:type="dxa"/>
          </w:tblCellMar>
        </w:tblPrEx>
        <w:trPr>
          <w:trHeight w:val="2094" w:hRule="atLeast"/>
        </w:trPr>
        <w:tc>
          <w:tcPr>
            <w:tcW w:w="810" w:type="dxa"/>
            <w:vMerge w:val="continue"/>
            <w:tcBorders>
              <w:top w:val="single" w:color="auto" w:sz="4" w:space="0"/>
              <w:left w:val="single" w:color="auto" w:sz="4" w:space="0"/>
              <w:bottom w:val="single" w:color="auto" w:sz="4" w:space="0"/>
              <w:right w:val="single" w:color="000000" w:sz="8" w:space="0"/>
            </w:tcBorders>
            <w:shd w:val="clear" w:color="auto" w:fill="auto"/>
            <w:vAlign w:val="center"/>
          </w:tcPr>
          <w:p>
            <w:pPr>
              <w:jc w:val="center"/>
              <w:rPr>
                <w:rFonts w:hint="eastAsia" w:ascii="黑体" w:hAnsi="黑体" w:eastAsia="黑体" w:cs="黑体"/>
                <w:color w:val="000000"/>
                <w:sz w:val="24"/>
              </w:rPr>
            </w:pPr>
          </w:p>
        </w:tc>
        <w:tc>
          <w:tcPr>
            <w:tcW w:w="1470" w:type="dxa"/>
            <w:vMerge w:val="continue"/>
            <w:tcBorders>
              <w:top w:val="single" w:color="auto" w:sz="4" w:space="0"/>
              <w:left w:val="single" w:color="000000" w:sz="8" w:space="0"/>
              <w:bottom w:val="single" w:color="auto" w:sz="4" w:space="0"/>
              <w:right w:val="single" w:color="000000" w:sz="8" w:space="0"/>
            </w:tcBorders>
            <w:shd w:val="clear" w:color="auto" w:fill="auto"/>
            <w:vAlign w:val="center"/>
          </w:tcPr>
          <w:p>
            <w:pPr>
              <w:jc w:val="center"/>
              <w:rPr>
                <w:rFonts w:hint="eastAsia" w:ascii="黑体" w:hAnsi="黑体" w:eastAsia="黑体" w:cs="黑体"/>
                <w:color w:val="000000"/>
                <w:sz w:val="24"/>
              </w:rPr>
            </w:pPr>
          </w:p>
        </w:tc>
        <w:tc>
          <w:tcPr>
            <w:tcW w:w="1985" w:type="dxa"/>
            <w:vMerge w:val="restart"/>
            <w:tcBorders>
              <w:top w:val="single" w:color="auto" w:sz="4" w:space="0"/>
              <w:left w:val="single" w:color="000000" w:sz="4" w:space="0"/>
              <w:bottom w:val="single" w:color="auto" w:sz="4" w:space="0"/>
              <w:right w:val="nil"/>
            </w:tcBorders>
            <w:shd w:val="clear" w:color="auto" w:fill="auto"/>
            <w:vAlign w:val="center"/>
          </w:tcPr>
          <w:p>
            <w:pPr>
              <w:widowControl/>
              <w:jc w:val="center"/>
              <w:textAlignment w:val="center"/>
              <w:rPr>
                <w:rFonts w:hint="eastAsia" w:ascii="楷体_GB2312" w:hAnsi="楷体_GB2312" w:eastAsia="楷体_GB2312" w:cs="楷体_GB2312"/>
                <w:b w:val="0"/>
                <w:bCs w:val="0"/>
                <w:color w:val="000000"/>
                <w:sz w:val="24"/>
              </w:rPr>
            </w:pPr>
            <w:r>
              <w:rPr>
                <w:rFonts w:hint="eastAsia" w:ascii="楷体_GB2312" w:hAnsi="楷体_GB2312" w:eastAsia="楷体_GB2312" w:cs="楷体_GB2312"/>
                <w:b w:val="0"/>
                <w:bCs w:val="0"/>
                <w:color w:val="000000"/>
                <w:kern w:val="0"/>
                <w:sz w:val="24"/>
                <w:lang w:bidi="ar"/>
              </w:rPr>
              <w:t>（三）完善标准体系</w:t>
            </w:r>
          </w:p>
        </w:tc>
        <w:tc>
          <w:tcPr>
            <w:tcW w:w="9174" w:type="dxa"/>
            <w:tcBorders>
              <w:top w:val="single" w:color="000000" w:sz="8" w:space="0"/>
              <w:left w:val="single" w:color="000000" w:sz="8" w:space="0"/>
              <w:bottom w:val="single" w:color="000000" w:sz="4" w:space="0"/>
              <w:right w:val="single" w:color="000000" w:sz="8" w:space="0"/>
            </w:tcBorders>
            <w:shd w:val="clear" w:color="auto" w:fill="auto"/>
            <w:vAlign w:val="center"/>
          </w:tcPr>
          <w:p>
            <w:pPr>
              <w:widowControl/>
              <w:textAlignment w:val="center"/>
              <w:rPr>
                <w:rFonts w:ascii="仿宋" w:hAnsi="仿宋" w:eastAsia="仿宋" w:cs="仿宋"/>
                <w:color w:val="000000"/>
                <w:sz w:val="24"/>
              </w:rPr>
            </w:pPr>
            <w:r>
              <w:rPr>
                <w:rStyle w:val="13"/>
                <w:rFonts w:hint="default" w:ascii="仿宋_GB2312" w:hAnsi="仿宋_GB2312" w:eastAsia="仿宋_GB2312" w:cs="仿宋_GB2312"/>
                <w:lang w:bidi="ar"/>
              </w:rPr>
              <w:t>1.推行标准化设计、生产和施工。</w:t>
            </w:r>
            <w:r>
              <w:rPr>
                <w:rStyle w:val="14"/>
                <w:rFonts w:hint="default" w:ascii="仿宋_GB2312" w:hAnsi="仿宋_GB2312" w:eastAsia="仿宋_GB2312" w:cs="仿宋_GB2312"/>
                <w:lang w:bidi="ar"/>
              </w:rPr>
              <w:t>积极推进设计选型标准、尺寸指南的应用，将标准化理念落实为不同类型建筑的标准化单元，实现预制构件产品主要尺寸系列化。如</w:t>
            </w:r>
            <w:r>
              <w:rPr>
                <w:rStyle w:val="14"/>
                <w:rFonts w:hint="eastAsia" w:ascii="仿宋_GB2312" w:hAnsi="仿宋_GB2312" w:eastAsia="仿宋_GB2312" w:cs="仿宋_GB2312"/>
                <w:b/>
                <w:bCs/>
                <w:lang w:eastAsia="zh-CN" w:bidi="ar"/>
              </w:rPr>
              <w:t>广东</w:t>
            </w:r>
            <w:r>
              <w:rPr>
                <w:rStyle w:val="14"/>
                <w:rFonts w:hint="default" w:ascii="仿宋_GB2312" w:hAnsi="仿宋_GB2312" w:eastAsia="仿宋_GB2312" w:cs="仿宋_GB2312"/>
                <w:b/>
                <w:bCs/>
                <w:lang w:bidi="ar"/>
              </w:rPr>
              <w:t>湛江</w:t>
            </w:r>
            <w:r>
              <w:rPr>
                <w:rStyle w:val="14"/>
                <w:rFonts w:hint="default" w:ascii="仿宋_GB2312" w:hAnsi="仿宋_GB2312" w:eastAsia="仿宋_GB2312" w:cs="仿宋_GB2312"/>
                <w:lang w:bidi="ar"/>
              </w:rPr>
              <w:t>东盛路钢结构公租房项目将钢梁截面尺寸规格减少到4种，通过构件尺寸的标准化大幅提升了加工制作和现场施工效率</w:t>
            </w:r>
            <w:r>
              <w:rPr>
                <w:rStyle w:val="14"/>
                <w:rFonts w:hint="eastAsia" w:ascii="仿宋_GB2312" w:hAnsi="仿宋_GB2312" w:eastAsia="仿宋_GB2312" w:cs="仿宋_GB2312"/>
                <w:lang w:eastAsia="zh-CN" w:bidi="ar"/>
              </w:rPr>
              <w:t>；</w:t>
            </w:r>
            <w:r>
              <w:rPr>
                <w:rStyle w:val="14"/>
                <w:rFonts w:hint="eastAsia" w:ascii="仿宋_GB2312" w:hAnsi="仿宋_GB2312" w:eastAsia="仿宋_GB2312" w:cs="仿宋_GB2312"/>
                <w:b/>
                <w:bCs/>
                <w:lang w:eastAsia="zh-CN" w:bidi="ar"/>
              </w:rPr>
              <w:t>江苏</w:t>
            </w:r>
            <w:r>
              <w:rPr>
                <w:rStyle w:val="14"/>
                <w:rFonts w:hint="default" w:ascii="仿宋_GB2312" w:hAnsi="仿宋_GB2312" w:eastAsia="仿宋_GB2312" w:cs="仿宋_GB2312"/>
                <w:b/>
                <w:bCs/>
                <w:lang w:bidi="ar"/>
              </w:rPr>
              <w:t>南京</w:t>
            </w:r>
            <w:r>
              <w:rPr>
                <w:rStyle w:val="14"/>
                <w:rFonts w:hint="default" w:ascii="仿宋_GB2312" w:hAnsi="仿宋_GB2312" w:eastAsia="仿宋_GB2312" w:cs="仿宋_GB2312"/>
                <w:lang w:bidi="ar"/>
              </w:rPr>
              <w:t>出台装配式居住建筑预制构件标准化设计技术导则，明确规定混凝土叠合楼板、楼梯板、剪力墙三种预制构件的尺寸和配筋规格，有效引导了规模化生产和应用。</w:t>
            </w:r>
          </w:p>
        </w:tc>
      </w:tr>
      <w:tr>
        <w:tblPrEx>
          <w:tblLayout w:type="fixed"/>
          <w:tblCellMar>
            <w:top w:w="0" w:type="dxa"/>
            <w:left w:w="108" w:type="dxa"/>
            <w:bottom w:w="0" w:type="dxa"/>
            <w:right w:w="108" w:type="dxa"/>
          </w:tblCellMar>
        </w:tblPrEx>
        <w:trPr>
          <w:trHeight w:val="1819" w:hRule="atLeast"/>
        </w:trPr>
        <w:tc>
          <w:tcPr>
            <w:tcW w:w="810" w:type="dxa"/>
            <w:vMerge w:val="continue"/>
            <w:tcBorders>
              <w:top w:val="single" w:color="auto" w:sz="4" w:space="0"/>
              <w:left w:val="single" w:color="auto" w:sz="4" w:space="0"/>
              <w:bottom w:val="single" w:color="000000" w:sz="8" w:space="0"/>
              <w:right w:val="single" w:color="000000" w:sz="8" w:space="0"/>
            </w:tcBorders>
            <w:shd w:val="clear" w:color="auto" w:fill="auto"/>
            <w:vAlign w:val="center"/>
          </w:tcPr>
          <w:p>
            <w:pPr>
              <w:jc w:val="center"/>
              <w:rPr>
                <w:rFonts w:hint="eastAsia" w:ascii="黑体" w:hAnsi="黑体" w:eastAsia="黑体" w:cs="黑体"/>
                <w:color w:val="000000"/>
                <w:sz w:val="24"/>
              </w:rPr>
            </w:pPr>
          </w:p>
        </w:tc>
        <w:tc>
          <w:tcPr>
            <w:tcW w:w="1470" w:type="dxa"/>
            <w:vMerge w:val="continue"/>
            <w:tcBorders>
              <w:top w:val="single" w:color="auto" w:sz="4" w:space="0"/>
              <w:left w:val="single" w:color="000000" w:sz="8" w:space="0"/>
              <w:bottom w:val="single" w:color="000000" w:sz="8" w:space="0"/>
              <w:right w:val="single" w:color="000000" w:sz="8" w:space="0"/>
            </w:tcBorders>
            <w:shd w:val="clear" w:color="auto" w:fill="auto"/>
            <w:vAlign w:val="center"/>
          </w:tcPr>
          <w:p>
            <w:pPr>
              <w:jc w:val="center"/>
              <w:rPr>
                <w:rFonts w:hint="eastAsia" w:ascii="黑体" w:hAnsi="黑体" w:eastAsia="黑体" w:cs="黑体"/>
                <w:color w:val="000000"/>
                <w:sz w:val="24"/>
              </w:rPr>
            </w:pPr>
          </w:p>
        </w:tc>
        <w:tc>
          <w:tcPr>
            <w:tcW w:w="1985" w:type="dxa"/>
            <w:vMerge w:val="continue"/>
            <w:tcBorders>
              <w:top w:val="single" w:color="auto" w:sz="4" w:space="0"/>
              <w:left w:val="single" w:color="000000" w:sz="4" w:space="0"/>
              <w:bottom w:val="single" w:color="000000" w:sz="8" w:space="0"/>
              <w:right w:val="nil"/>
            </w:tcBorders>
            <w:shd w:val="clear" w:color="auto" w:fill="auto"/>
            <w:vAlign w:val="center"/>
          </w:tcPr>
          <w:p>
            <w:pPr>
              <w:jc w:val="center"/>
              <w:rPr>
                <w:rFonts w:hint="eastAsia" w:ascii="楷体_GB2312" w:hAnsi="楷体_GB2312" w:eastAsia="楷体_GB2312" w:cs="楷体_GB2312"/>
                <w:b w:val="0"/>
                <w:bCs w:val="0"/>
                <w:color w:val="000000"/>
                <w:sz w:val="24"/>
              </w:rPr>
            </w:pPr>
          </w:p>
        </w:tc>
        <w:tc>
          <w:tcPr>
            <w:tcW w:w="9174" w:type="dxa"/>
            <w:tcBorders>
              <w:top w:val="single" w:color="000000" w:sz="4" w:space="0"/>
              <w:left w:val="single" w:color="000000" w:sz="8" w:space="0"/>
              <w:bottom w:val="single" w:color="000000" w:sz="8" w:space="0"/>
              <w:right w:val="single" w:color="000000" w:sz="8" w:space="0"/>
            </w:tcBorders>
            <w:shd w:val="clear" w:color="auto" w:fill="auto"/>
            <w:vAlign w:val="center"/>
          </w:tcPr>
          <w:p>
            <w:pPr>
              <w:widowControl/>
              <w:textAlignment w:val="center"/>
              <w:rPr>
                <w:sz w:val="24"/>
              </w:rPr>
            </w:pPr>
            <w:r>
              <w:rPr>
                <w:rStyle w:val="14"/>
                <w:rFonts w:hint="default" w:ascii="仿宋_GB2312" w:hAnsi="仿宋_GB2312" w:eastAsia="仿宋_GB2312" w:cs="仿宋_GB2312"/>
                <w:b/>
                <w:bCs/>
                <w:lang w:bidi="ar"/>
              </w:rPr>
              <w:t>2.因地制宜编制地方标准。</w:t>
            </w:r>
            <w:r>
              <w:rPr>
                <w:rStyle w:val="14"/>
                <w:rFonts w:hint="default" w:ascii="仿宋_GB2312" w:hAnsi="仿宋_GB2312" w:eastAsia="仿宋_GB2312" w:cs="仿宋_GB2312"/>
                <w:lang w:bidi="ar"/>
              </w:rPr>
              <w:t>结合地方实际发展情况，编制有针对性</w:t>
            </w:r>
            <w:r>
              <w:rPr>
                <w:rStyle w:val="14"/>
                <w:rFonts w:hint="eastAsia" w:ascii="仿宋_GB2312" w:hAnsi="仿宋_GB2312" w:eastAsia="仿宋_GB2312" w:cs="仿宋_GB2312"/>
                <w:lang w:eastAsia="zh-CN" w:bidi="ar"/>
              </w:rPr>
              <w:t>的</w:t>
            </w:r>
            <w:r>
              <w:rPr>
                <w:rStyle w:val="14"/>
                <w:rFonts w:hint="default" w:ascii="仿宋_GB2312" w:hAnsi="仿宋_GB2312" w:eastAsia="仿宋_GB2312" w:cs="仿宋_GB2312"/>
                <w:lang w:bidi="ar"/>
              </w:rPr>
              <w:t>标准，引领当地装配式建筑发展。如</w:t>
            </w:r>
            <w:r>
              <w:rPr>
                <w:rStyle w:val="14"/>
                <w:rFonts w:hint="default" w:ascii="仿宋_GB2312" w:hAnsi="仿宋_GB2312" w:eastAsia="仿宋_GB2312" w:cs="仿宋_GB2312"/>
                <w:b/>
                <w:bCs/>
                <w:lang w:bidi="ar"/>
              </w:rPr>
              <w:t>海南</w:t>
            </w:r>
            <w:r>
              <w:rPr>
                <w:rStyle w:val="14"/>
                <w:rFonts w:hint="default" w:ascii="仿宋_GB2312" w:hAnsi="仿宋_GB2312" w:eastAsia="仿宋_GB2312" w:cs="仿宋_GB2312"/>
                <w:lang w:bidi="ar"/>
              </w:rPr>
              <w:t>针对高温、高湿、高腐蚀的自然环境，以及高地震设防烈度、强台风等地质气候特点，编制了海南省装配式建筑标准化设计技术标准</w:t>
            </w:r>
            <w:r>
              <w:rPr>
                <w:rStyle w:val="14"/>
                <w:rFonts w:hint="eastAsia" w:ascii="仿宋_GB2312" w:hAnsi="仿宋_GB2312" w:eastAsia="仿宋_GB2312" w:cs="仿宋_GB2312"/>
                <w:lang w:eastAsia="zh-CN" w:bidi="ar"/>
              </w:rPr>
              <w:t>；</w:t>
            </w:r>
            <w:r>
              <w:rPr>
                <w:rStyle w:val="14"/>
                <w:rFonts w:hint="default" w:ascii="仿宋_GB2312" w:hAnsi="仿宋_GB2312" w:eastAsia="仿宋_GB2312" w:cs="仿宋_GB2312"/>
                <w:b/>
                <w:bCs/>
                <w:lang w:bidi="ar"/>
              </w:rPr>
              <w:t>京津冀地区</w:t>
            </w:r>
            <w:r>
              <w:rPr>
                <w:rStyle w:val="14"/>
                <w:rFonts w:hint="default" w:ascii="仿宋_GB2312" w:hAnsi="仿宋_GB2312" w:eastAsia="仿宋_GB2312" w:cs="仿宋_GB2312"/>
                <w:lang w:bidi="ar"/>
              </w:rPr>
              <w:t>协同实施《装配式混凝土结构工程施工与质量验收规程》《预制混凝土构件质量检验标准》</w:t>
            </w:r>
            <w:r>
              <w:rPr>
                <w:rStyle w:val="14"/>
                <w:rFonts w:hint="eastAsia" w:ascii="仿宋_GB2312" w:hAnsi="仿宋_GB2312" w:eastAsia="仿宋_GB2312" w:cs="仿宋_GB2312"/>
                <w:lang w:eastAsia="zh-CN" w:bidi="ar"/>
              </w:rPr>
              <w:t>；</w:t>
            </w:r>
            <w:r>
              <w:rPr>
                <w:rStyle w:val="14"/>
                <w:rFonts w:hint="default" w:ascii="仿宋_GB2312" w:hAnsi="仿宋_GB2312" w:eastAsia="仿宋_GB2312" w:cs="仿宋_GB2312"/>
                <w:b/>
                <w:bCs/>
                <w:lang w:bidi="ar"/>
              </w:rPr>
              <w:t>西藏</w:t>
            </w:r>
            <w:r>
              <w:rPr>
                <w:rStyle w:val="14"/>
                <w:rFonts w:hint="default" w:ascii="仿宋_GB2312" w:hAnsi="仿宋_GB2312" w:eastAsia="仿宋_GB2312" w:cs="仿宋_GB2312"/>
                <w:lang w:bidi="ar"/>
              </w:rPr>
              <w:t>制定高原装配式钢结构技术标准和工程预算定额。</w:t>
            </w:r>
          </w:p>
        </w:tc>
      </w:tr>
      <w:tr>
        <w:tblPrEx>
          <w:tblLayout w:type="fixed"/>
          <w:tblCellMar>
            <w:top w:w="0" w:type="dxa"/>
            <w:left w:w="108" w:type="dxa"/>
            <w:bottom w:w="0" w:type="dxa"/>
            <w:right w:w="108" w:type="dxa"/>
          </w:tblCellMar>
        </w:tblPrEx>
        <w:trPr>
          <w:trHeight w:val="1727" w:hRule="atLeast"/>
        </w:trPr>
        <w:tc>
          <w:tcPr>
            <w:tcW w:w="81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黑体" w:hAnsi="黑体" w:eastAsia="黑体" w:cs="黑体"/>
                <w:color w:val="000000"/>
                <w:sz w:val="24"/>
              </w:rPr>
            </w:pPr>
            <w:r>
              <w:rPr>
                <w:rFonts w:hint="eastAsia" w:ascii="黑体" w:hAnsi="黑体" w:eastAsia="黑体" w:cs="黑体"/>
                <w:color w:val="000000"/>
                <w:sz w:val="24"/>
              </w:rPr>
              <w:t>三</w:t>
            </w:r>
          </w:p>
        </w:tc>
        <w:tc>
          <w:tcPr>
            <w:tcW w:w="147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黑体" w:hAnsi="黑体" w:eastAsia="黑体" w:cs="黑体"/>
                <w:color w:val="000000"/>
                <w:sz w:val="24"/>
              </w:rPr>
            </w:pPr>
            <w:r>
              <w:rPr>
                <w:rFonts w:hint="eastAsia" w:ascii="黑体" w:hAnsi="黑体" w:eastAsia="黑体" w:cs="黑体"/>
                <w:color w:val="000000"/>
                <w:sz w:val="24"/>
              </w:rPr>
              <w:t>产业发展</w:t>
            </w:r>
          </w:p>
        </w:tc>
        <w:tc>
          <w:tcPr>
            <w:tcW w:w="198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楷体_GB2312" w:hAnsi="楷体_GB2312" w:eastAsia="楷体_GB2312" w:cs="楷体_GB2312"/>
                <w:b w:val="0"/>
                <w:bCs w:val="0"/>
                <w:color w:val="000000"/>
                <w:kern w:val="0"/>
                <w:sz w:val="24"/>
                <w:lang w:bidi="ar"/>
              </w:rPr>
            </w:pPr>
            <w:r>
              <w:rPr>
                <w:rFonts w:hint="eastAsia" w:ascii="楷体_GB2312" w:hAnsi="楷体_GB2312" w:eastAsia="楷体_GB2312" w:cs="楷体_GB2312"/>
                <w:b w:val="0"/>
                <w:bCs w:val="0"/>
                <w:color w:val="000000"/>
                <w:kern w:val="0"/>
                <w:sz w:val="24"/>
                <w:lang w:bidi="ar"/>
              </w:rPr>
              <w:t>（一）推动产业发展</w:t>
            </w:r>
          </w:p>
        </w:tc>
        <w:tc>
          <w:tcPr>
            <w:tcW w:w="9174" w:type="dxa"/>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ascii="仿宋" w:hAnsi="仿宋" w:eastAsia="仿宋" w:cs="仿宋"/>
                <w:color w:val="000000"/>
                <w:sz w:val="24"/>
              </w:rPr>
            </w:pPr>
            <w:r>
              <w:rPr>
                <w:rStyle w:val="13"/>
                <w:rFonts w:hint="default" w:ascii="仿宋_GB2312" w:hAnsi="仿宋_GB2312" w:eastAsia="仿宋_GB2312" w:cs="仿宋_GB2312"/>
                <w:lang w:bidi="ar"/>
              </w:rPr>
              <w:t>1.合理布局生产基地</w:t>
            </w:r>
            <w:r>
              <w:rPr>
                <w:rStyle w:val="14"/>
                <w:rFonts w:hint="default" w:ascii="仿宋_GB2312" w:hAnsi="仿宋_GB2312" w:eastAsia="仿宋_GB2312" w:cs="仿宋_GB2312"/>
                <w:b/>
                <w:bCs/>
                <w:lang w:bidi="ar"/>
              </w:rPr>
              <w:t>。</w:t>
            </w:r>
            <w:r>
              <w:rPr>
                <w:rStyle w:val="14"/>
                <w:rFonts w:hint="default" w:ascii="仿宋_GB2312" w:hAnsi="仿宋_GB2312" w:eastAsia="仿宋_GB2312" w:cs="仿宋_GB2312"/>
                <w:lang w:bidi="ar"/>
              </w:rPr>
              <w:t>按照合理的运输半径，科学布局部品部件生产企业，避免“一哄而上”，定期发布产品需求信息，引导生产企业合理安排工期。如</w:t>
            </w:r>
            <w:r>
              <w:rPr>
                <w:rStyle w:val="14"/>
                <w:rFonts w:hint="default" w:ascii="仿宋_GB2312" w:hAnsi="仿宋_GB2312" w:eastAsia="仿宋_GB2312" w:cs="仿宋_GB2312"/>
                <w:b/>
                <w:bCs/>
                <w:lang w:bidi="ar"/>
              </w:rPr>
              <w:t>北京</w:t>
            </w:r>
            <w:r>
              <w:rPr>
                <w:rStyle w:val="14"/>
                <w:rFonts w:hint="default" w:ascii="仿宋_GB2312" w:hAnsi="仿宋_GB2312" w:eastAsia="仿宋_GB2312" w:cs="仿宋_GB2312"/>
                <w:lang w:bidi="ar"/>
              </w:rPr>
              <w:t>积极协调部品部件企业京津冀合理布局，定期发布排产计划，保证部品部件供应</w:t>
            </w:r>
            <w:r>
              <w:rPr>
                <w:rStyle w:val="14"/>
                <w:rFonts w:hint="eastAsia" w:ascii="仿宋_GB2312" w:hAnsi="仿宋_GB2312" w:eastAsia="仿宋_GB2312" w:cs="仿宋_GB2312"/>
                <w:lang w:eastAsia="zh-CN" w:bidi="ar"/>
              </w:rPr>
              <w:t>；</w:t>
            </w:r>
            <w:r>
              <w:rPr>
                <w:rStyle w:val="14"/>
                <w:rFonts w:hint="eastAsia" w:ascii="仿宋_GB2312" w:hAnsi="仿宋_GB2312" w:eastAsia="仿宋_GB2312" w:cs="仿宋_GB2312"/>
                <w:b/>
                <w:bCs/>
                <w:lang w:eastAsia="zh-CN" w:bidi="ar"/>
              </w:rPr>
              <w:t>广东</w:t>
            </w:r>
            <w:r>
              <w:rPr>
                <w:rStyle w:val="14"/>
                <w:rFonts w:hint="default" w:ascii="仿宋_GB2312" w:hAnsi="仿宋_GB2312" w:eastAsia="仿宋_GB2312" w:cs="仿宋_GB2312"/>
                <w:b/>
                <w:bCs/>
                <w:lang w:bidi="ar"/>
              </w:rPr>
              <w:t>深圳</w:t>
            </w:r>
            <w:r>
              <w:rPr>
                <w:rStyle w:val="14"/>
                <w:rFonts w:hint="default" w:ascii="仿宋_GB2312" w:hAnsi="仿宋_GB2312" w:eastAsia="仿宋_GB2312" w:cs="仿宋_GB2312"/>
                <w:lang w:bidi="ar"/>
              </w:rPr>
              <w:t>每季度发布装配式建筑项目构件需求信息，以及预制构件、轻质墙板等关键部品部件生产工厂的生产情况、市场造价等信息。</w:t>
            </w:r>
          </w:p>
        </w:tc>
      </w:tr>
      <w:tr>
        <w:tblPrEx>
          <w:tblLayout w:type="fixed"/>
        </w:tblPrEx>
        <w:trPr>
          <w:trHeight w:val="2376" w:hRule="atLeast"/>
        </w:trPr>
        <w:tc>
          <w:tcPr>
            <w:tcW w:w="81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both"/>
              <w:rPr>
                <w:rFonts w:hint="eastAsia" w:ascii="黑体" w:hAnsi="黑体" w:eastAsia="黑体" w:cs="黑体"/>
                <w:color w:val="000000"/>
                <w:sz w:val="24"/>
              </w:rPr>
            </w:pPr>
          </w:p>
        </w:tc>
        <w:tc>
          <w:tcPr>
            <w:tcW w:w="147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both"/>
              <w:rPr>
                <w:rFonts w:hint="eastAsia" w:ascii="黑体" w:hAnsi="黑体" w:eastAsia="黑体" w:cs="黑体"/>
                <w:color w:val="000000"/>
                <w:sz w:val="24"/>
              </w:rPr>
            </w:pPr>
          </w:p>
        </w:tc>
        <w:tc>
          <w:tcPr>
            <w:tcW w:w="19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both"/>
              <w:rPr>
                <w:rFonts w:hint="eastAsia" w:ascii="楷体_GB2312" w:hAnsi="楷体_GB2312" w:eastAsia="楷体_GB2312" w:cs="楷体_GB2312"/>
                <w:b w:val="0"/>
                <w:bCs w:val="0"/>
                <w:color w:val="000000"/>
                <w:kern w:val="0"/>
                <w:sz w:val="24"/>
                <w:lang w:bidi="ar"/>
              </w:rPr>
            </w:pPr>
          </w:p>
        </w:tc>
        <w:tc>
          <w:tcPr>
            <w:tcW w:w="9174"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textAlignment w:val="center"/>
              <w:rPr>
                <w:rFonts w:eastAsia="仿宋_GB2312"/>
                <w:sz w:val="24"/>
              </w:rPr>
            </w:pPr>
            <w:r>
              <w:rPr>
                <w:rStyle w:val="14"/>
                <w:rFonts w:hint="default" w:ascii="仿宋_GB2312" w:hAnsi="仿宋_GB2312" w:eastAsia="仿宋_GB2312" w:cs="仿宋_GB2312"/>
                <w:b/>
                <w:bCs/>
                <w:lang w:bidi="ar"/>
              </w:rPr>
              <w:t>2.打造产业集群。</w:t>
            </w:r>
            <w:r>
              <w:rPr>
                <w:rStyle w:val="14"/>
                <w:rFonts w:hint="default" w:ascii="仿宋_GB2312" w:hAnsi="仿宋_GB2312" w:eastAsia="仿宋_GB2312" w:cs="仿宋_GB2312"/>
                <w:lang w:bidi="ar"/>
              </w:rPr>
              <w:t>培育和引进装配式建筑设计、生产、施工、装配化装修等全产业链企业，形成产业聚集区，成为区域产业亮点。如</w:t>
            </w:r>
            <w:r>
              <w:rPr>
                <w:rStyle w:val="14"/>
                <w:rFonts w:hint="default" w:ascii="仿宋_GB2312" w:hAnsi="仿宋_GB2312" w:eastAsia="仿宋_GB2312" w:cs="仿宋_GB2312"/>
                <w:b/>
                <w:bCs/>
                <w:lang w:bidi="ar"/>
              </w:rPr>
              <w:t>山东</w:t>
            </w:r>
            <w:r>
              <w:rPr>
                <w:rStyle w:val="14"/>
                <w:rFonts w:hint="default" w:ascii="仿宋_GB2312" w:hAnsi="仿宋_GB2312" w:eastAsia="仿宋_GB2312" w:cs="仿宋_GB2312"/>
                <w:lang w:bidi="ar"/>
              </w:rPr>
              <w:t>初步形成省会、胶东、鲁南3个相对集中的装配式建筑产业集聚区，培育国家级生产基地34个，省级生产基地121个；</w:t>
            </w:r>
            <w:r>
              <w:rPr>
                <w:rStyle w:val="14"/>
                <w:rFonts w:hint="default" w:ascii="仿宋_GB2312" w:hAnsi="仿宋_GB2312" w:eastAsia="仿宋_GB2312" w:cs="仿宋_GB2312"/>
                <w:b/>
                <w:bCs/>
                <w:lang w:bidi="ar"/>
              </w:rPr>
              <w:t>四川</w:t>
            </w:r>
            <w:r>
              <w:rPr>
                <w:rStyle w:val="14"/>
                <w:rFonts w:hint="default" w:ascii="仿宋_GB2312" w:hAnsi="仿宋_GB2312" w:eastAsia="仿宋_GB2312" w:cs="仿宋_GB2312"/>
                <w:lang w:bidi="ar"/>
              </w:rPr>
              <w:t>实施“1+N”省级建筑产业园区建设,推荐9个装配式建筑产业园区纳入省“十四五”重大工程项目；</w:t>
            </w:r>
            <w:r>
              <w:rPr>
                <w:rStyle w:val="14"/>
                <w:rFonts w:hint="default" w:ascii="仿宋_GB2312" w:hAnsi="仿宋_GB2312" w:eastAsia="仿宋_GB2312" w:cs="仿宋_GB2312"/>
                <w:b/>
                <w:bCs/>
                <w:lang w:bidi="ar"/>
              </w:rPr>
              <w:t>重庆</w:t>
            </w:r>
            <w:r>
              <w:rPr>
                <w:rStyle w:val="14"/>
                <w:rFonts w:hint="default" w:ascii="仿宋_GB2312" w:hAnsi="仿宋_GB2312" w:eastAsia="仿宋_GB2312" w:cs="仿宋_GB2312"/>
                <w:lang w:bidi="ar"/>
              </w:rPr>
              <w:t>推动装配式建筑产业成为市领导定向联系的重点产业，关于现代建筑产业可打造成为千亿产业集群的调研报告获得市委主要负责同志批示</w:t>
            </w:r>
            <w:r>
              <w:rPr>
                <w:rStyle w:val="14"/>
                <w:rFonts w:hint="eastAsia" w:ascii="仿宋_GB2312" w:hAnsi="仿宋_GB2312" w:eastAsia="仿宋_GB2312" w:cs="仿宋_GB2312"/>
                <w:lang w:eastAsia="zh-CN" w:bidi="ar"/>
              </w:rPr>
              <w:t>；</w:t>
            </w:r>
            <w:r>
              <w:rPr>
                <w:rStyle w:val="14"/>
                <w:rFonts w:hint="default" w:ascii="仿宋_GB2312" w:hAnsi="仿宋_GB2312" w:eastAsia="仿宋_GB2312" w:cs="仿宋_GB2312"/>
                <w:b/>
                <w:bCs/>
                <w:lang w:bidi="ar"/>
              </w:rPr>
              <w:t>浙江</w:t>
            </w:r>
            <w:r>
              <w:rPr>
                <w:rStyle w:val="14"/>
                <w:rFonts w:hint="default" w:ascii="仿宋_GB2312" w:hAnsi="仿宋_GB2312" w:eastAsia="仿宋_GB2312" w:cs="仿宋_GB2312"/>
                <w:lang w:bidi="ar"/>
              </w:rPr>
              <w:t>积极培育钢结构建筑龙头企业，已投产钢结构装配式生产基地（30亩以上）68个。</w:t>
            </w:r>
          </w:p>
        </w:tc>
      </w:tr>
      <w:tr>
        <w:tblPrEx>
          <w:tblLayout w:type="fixed"/>
          <w:tblCellMar>
            <w:top w:w="0" w:type="dxa"/>
            <w:left w:w="108" w:type="dxa"/>
            <w:bottom w:w="0" w:type="dxa"/>
            <w:right w:w="108" w:type="dxa"/>
          </w:tblCellMar>
        </w:tblPrEx>
        <w:trPr>
          <w:trHeight w:val="2361" w:hRule="atLeast"/>
        </w:trPr>
        <w:tc>
          <w:tcPr>
            <w:tcW w:w="81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both"/>
              <w:rPr>
                <w:rFonts w:hint="eastAsia" w:ascii="黑体" w:hAnsi="黑体" w:eastAsia="黑体" w:cs="黑体"/>
                <w:color w:val="000000"/>
                <w:sz w:val="24"/>
              </w:rPr>
            </w:pPr>
          </w:p>
        </w:tc>
        <w:tc>
          <w:tcPr>
            <w:tcW w:w="147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both"/>
              <w:rPr>
                <w:rFonts w:hint="eastAsia" w:ascii="黑体" w:hAnsi="黑体" w:eastAsia="黑体" w:cs="黑体"/>
                <w:color w:val="000000"/>
                <w:sz w:val="24"/>
              </w:rPr>
            </w:pPr>
          </w:p>
        </w:tc>
        <w:tc>
          <w:tcPr>
            <w:tcW w:w="198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楷体_GB2312" w:hAnsi="楷体_GB2312" w:eastAsia="楷体_GB2312" w:cs="楷体_GB2312"/>
                <w:b w:val="0"/>
                <w:bCs w:val="0"/>
                <w:color w:val="000000"/>
                <w:sz w:val="24"/>
              </w:rPr>
            </w:pPr>
            <w:r>
              <w:rPr>
                <w:rFonts w:hint="eastAsia" w:ascii="楷体_GB2312" w:hAnsi="楷体_GB2312" w:eastAsia="楷体_GB2312" w:cs="楷体_GB2312"/>
                <w:b w:val="0"/>
                <w:bCs w:val="0"/>
                <w:color w:val="000000"/>
                <w:sz w:val="24"/>
              </w:rPr>
              <w:t>（二）提升产业影响力</w:t>
            </w:r>
          </w:p>
        </w:tc>
        <w:tc>
          <w:tcPr>
            <w:tcW w:w="9174"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both"/>
              <w:textAlignment w:val="center"/>
            </w:pPr>
            <w:r>
              <w:rPr>
                <w:rStyle w:val="14"/>
                <w:rFonts w:hint="default" w:ascii="仿宋_GB2312" w:hAnsi="仿宋_GB2312" w:eastAsia="仿宋_GB2312" w:cs="仿宋_GB2312"/>
                <w:b/>
                <w:bCs/>
                <w:lang w:bidi="ar"/>
              </w:rPr>
              <w:t>1.</w:t>
            </w:r>
            <w:r>
              <w:rPr>
                <w:rStyle w:val="14"/>
                <w:rFonts w:hint="eastAsia" w:ascii="仿宋_GB2312" w:hAnsi="仿宋_GB2312" w:eastAsia="仿宋_GB2312" w:cs="仿宋_GB2312"/>
                <w:b/>
                <w:bCs/>
                <w:lang w:eastAsia="zh-CN" w:bidi="ar"/>
              </w:rPr>
              <w:t>拓展应用领域</w:t>
            </w:r>
            <w:r>
              <w:rPr>
                <w:rStyle w:val="14"/>
                <w:rFonts w:hint="default" w:ascii="仿宋_GB2312" w:hAnsi="仿宋_GB2312" w:eastAsia="仿宋_GB2312" w:cs="仿宋_GB2312"/>
                <w:b/>
                <w:bCs/>
                <w:lang w:bidi="ar"/>
              </w:rPr>
              <w:t>。</w:t>
            </w:r>
            <w:r>
              <w:rPr>
                <w:rStyle w:val="14"/>
                <w:rFonts w:hint="eastAsia" w:ascii="仿宋_GB2312" w:hAnsi="仿宋_GB2312" w:eastAsia="仿宋_GB2312" w:cs="仿宋_GB2312"/>
                <w:b w:val="0"/>
                <w:bCs w:val="0"/>
                <w:lang w:eastAsia="zh-CN" w:bidi="ar"/>
              </w:rPr>
              <w:t>部分地区积极推动装配式预制构件及建造技术在市政领域应用。</w:t>
            </w:r>
            <w:r>
              <w:rPr>
                <w:rStyle w:val="14"/>
                <w:rFonts w:hint="eastAsia" w:ascii="仿宋_GB2312" w:hAnsi="仿宋_GB2312" w:eastAsia="仿宋_GB2312" w:cs="仿宋_GB2312"/>
                <w:b/>
                <w:bCs/>
                <w:lang w:eastAsia="zh-CN" w:bidi="ar"/>
              </w:rPr>
              <w:t>如广东</w:t>
            </w:r>
            <w:r>
              <w:rPr>
                <w:rStyle w:val="14"/>
                <w:rFonts w:hint="default" w:ascii="仿宋_GB2312" w:hAnsi="仿宋_GB2312" w:eastAsia="仿宋_GB2312" w:cs="仿宋_GB2312"/>
                <w:b/>
                <w:bCs/>
                <w:lang w:bidi="ar"/>
              </w:rPr>
              <w:t>广州</w:t>
            </w:r>
            <w:r>
              <w:rPr>
                <w:rStyle w:val="14"/>
                <w:rFonts w:hint="default" w:ascii="仿宋_GB2312" w:hAnsi="仿宋_GB2312" w:eastAsia="仿宋_GB2312" w:cs="仿宋_GB2312"/>
                <w:lang w:bidi="ar"/>
              </w:rPr>
              <w:t>推动装配式技术在预制综合管廊和市政工程桥梁生产中应用，在综合成本基本不增加的前提下，能够明显提高综合管廊工程质量和施工环境</w:t>
            </w:r>
            <w:r>
              <w:rPr>
                <w:rStyle w:val="14"/>
                <w:rFonts w:hint="eastAsia" w:ascii="仿宋_GB2312" w:hAnsi="仿宋_GB2312" w:eastAsia="仿宋_GB2312" w:cs="仿宋_GB2312"/>
                <w:lang w:eastAsia="zh-CN" w:bidi="ar"/>
              </w:rPr>
              <w:t>；</w:t>
            </w:r>
            <w:r>
              <w:rPr>
                <w:rStyle w:val="14"/>
                <w:rFonts w:hint="eastAsia" w:ascii="仿宋_GB2312" w:hAnsi="仿宋_GB2312" w:eastAsia="仿宋_GB2312" w:cs="仿宋_GB2312"/>
                <w:b/>
                <w:bCs/>
                <w:lang w:eastAsia="zh-CN" w:bidi="ar"/>
              </w:rPr>
              <w:t>四川</w:t>
            </w:r>
            <w:r>
              <w:rPr>
                <w:rStyle w:val="14"/>
                <w:rFonts w:hint="default" w:ascii="仿宋_GB2312" w:hAnsi="仿宋_GB2312" w:eastAsia="仿宋_GB2312" w:cs="仿宋_GB2312"/>
                <w:b/>
                <w:bCs/>
                <w:lang w:bidi="ar"/>
              </w:rPr>
              <w:t>成都</w:t>
            </w:r>
            <w:r>
              <w:rPr>
                <w:rStyle w:val="14"/>
                <w:rFonts w:hint="default" w:ascii="仿宋_GB2312" w:hAnsi="仿宋_GB2312" w:eastAsia="仿宋_GB2312" w:cs="仿宋_GB2312"/>
                <w:lang w:bidi="ar"/>
              </w:rPr>
              <w:t>在城市综合管廊等市政项目中积极推广预制构件，市区20余座互通立交桥以及投资80亿元的综合管廊项目全部采用装配式</w:t>
            </w:r>
            <w:r>
              <w:rPr>
                <w:rStyle w:val="14"/>
                <w:rFonts w:hint="eastAsia" w:ascii="仿宋_GB2312" w:hAnsi="仿宋_GB2312" w:eastAsia="仿宋_GB2312" w:cs="仿宋_GB2312"/>
                <w:lang w:eastAsia="zh-CN" w:bidi="ar"/>
              </w:rPr>
              <w:t>；</w:t>
            </w:r>
            <w:r>
              <w:rPr>
                <w:rStyle w:val="14"/>
                <w:rFonts w:hint="default" w:ascii="仿宋_GB2312" w:hAnsi="仿宋_GB2312" w:eastAsia="仿宋_GB2312" w:cs="仿宋_GB2312"/>
                <w:b/>
                <w:bCs/>
                <w:lang w:bidi="ar"/>
              </w:rPr>
              <w:t>陕西</w:t>
            </w:r>
            <w:r>
              <w:rPr>
                <w:rStyle w:val="14"/>
                <w:rFonts w:hint="default" w:ascii="仿宋_GB2312" w:hAnsi="仿宋_GB2312" w:eastAsia="仿宋_GB2312" w:cs="仿宋_GB2312"/>
                <w:lang w:bidi="ar"/>
              </w:rPr>
              <w:t>加大预制综合管廊、预制地铁管片、预制排水构件等预制构件产品在市政工程中的应用，目前已应用预制地铁管片及配套构件约56万立方米，预制检查井890座，预制综合管廊830米，预制管沟约8000立方米。</w:t>
            </w:r>
          </w:p>
        </w:tc>
      </w:tr>
      <w:tr>
        <w:tblPrEx>
          <w:tblLayout w:type="fixed"/>
          <w:tblCellMar>
            <w:top w:w="0" w:type="dxa"/>
            <w:left w:w="108" w:type="dxa"/>
            <w:bottom w:w="0" w:type="dxa"/>
            <w:right w:w="108" w:type="dxa"/>
          </w:tblCellMar>
        </w:tblPrEx>
        <w:trPr>
          <w:trHeight w:val="1121" w:hRule="atLeast"/>
        </w:trPr>
        <w:tc>
          <w:tcPr>
            <w:tcW w:w="81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黑体" w:hAnsi="黑体" w:eastAsia="黑体" w:cs="黑体"/>
                <w:color w:val="000000"/>
                <w:sz w:val="24"/>
              </w:rPr>
            </w:pPr>
          </w:p>
        </w:tc>
        <w:tc>
          <w:tcPr>
            <w:tcW w:w="147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黑体" w:hAnsi="黑体" w:eastAsia="黑体" w:cs="黑体"/>
                <w:color w:val="000000"/>
                <w:sz w:val="24"/>
              </w:rPr>
            </w:pPr>
          </w:p>
        </w:tc>
        <w:tc>
          <w:tcPr>
            <w:tcW w:w="19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楷体_GB2312" w:hAnsi="楷体_GB2312" w:eastAsia="楷体_GB2312" w:cs="楷体_GB2312"/>
                <w:b w:val="0"/>
                <w:bCs w:val="0"/>
                <w:color w:val="000000"/>
                <w:sz w:val="24"/>
              </w:rPr>
            </w:pPr>
          </w:p>
        </w:tc>
        <w:tc>
          <w:tcPr>
            <w:tcW w:w="9174"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textAlignment w:val="center"/>
              <w:rPr>
                <w:rStyle w:val="14"/>
                <w:rFonts w:hint="default" w:ascii="仿宋_GB2312" w:hAnsi="仿宋_GB2312" w:eastAsia="仿宋_GB2312" w:cs="仿宋_GB2312"/>
                <w:b/>
                <w:bCs/>
                <w:lang w:bidi="ar"/>
              </w:rPr>
            </w:pPr>
            <w:r>
              <w:rPr>
                <w:rStyle w:val="14"/>
                <w:rFonts w:hint="default" w:ascii="仿宋_GB2312" w:hAnsi="仿宋_GB2312" w:eastAsia="仿宋_GB2312" w:cs="仿宋_GB2312"/>
                <w:b/>
                <w:bCs/>
                <w:lang w:bidi="ar"/>
              </w:rPr>
              <w:t>2.支持企业“走出去”。</w:t>
            </w:r>
            <w:r>
              <w:rPr>
                <w:rStyle w:val="14"/>
                <w:rFonts w:hint="eastAsia" w:ascii="仿宋_GB2312" w:hAnsi="仿宋_GB2312" w:eastAsia="仿宋_GB2312" w:cs="仿宋_GB2312"/>
                <w:b w:val="0"/>
                <w:bCs w:val="0"/>
                <w:lang w:eastAsia="zh-CN" w:bidi="ar"/>
              </w:rPr>
              <w:t>部分装配式建筑产业发展较好的地区，积极支持本地企业走出本省甚至走向全球。如</w:t>
            </w:r>
            <w:r>
              <w:rPr>
                <w:rStyle w:val="14"/>
                <w:rFonts w:hint="default" w:ascii="仿宋_GB2312" w:hAnsi="仿宋_GB2312" w:eastAsia="仿宋_GB2312" w:cs="仿宋_GB2312"/>
                <w:b/>
                <w:bCs/>
                <w:lang w:bidi="ar"/>
              </w:rPr>
              <w:t>广东</w:t>
            </w:r>
            <w:r>
              <w:rPr>
                <w:rStyle w:val="14"/>
                <w:rFonts w:hint="default" w:ascii="仿宋_GB2312" w:hAnsi="仿宋_GB2312" w:eastAsia="仿宋_GB2312" w:cs="仿宋_GB2312"/>
                <w:lang w:bidi="ar"/>
              </w:rPr>
              <w:t>以中建科技、中建科工、中集集团为代表的装配式建筑企业，在全国乃至全球输出经验做法，中集集团用模块化建筑向全球输出“中国建造”，目前在国外已完成100多个酒店和公寓项目建设。</w:t>
            </w:r>
          </w:p>
        </w:tc>
      </w:tr>
      <w:tr>
        <w:tblPrEx>
          <w:tblLayout w:type="fixed"/>
          <w:tblCellMar>
            <w:top w:w="0" w:type="dxa"/>
            <w:left w:w="108" w:type="dxa"/>
            <w:bottom w:w="0" w:type="dxa"/>
            <w:right w:w="108" w:type="dxa"/>
          </w:tblCellMar>
        </w:tblPrEx>
        <w:trPr>
          <w:trHeight w:val="1744" w:hRule="atLeast"/>
        </w:trPr>
        <w:tc>
          <w:tcPr>
            <w:tcW w:w="81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黑体" w:hAnsi="黑体" w:eastAsia="黑体" w:cs="黑体"/>
                <w:b/>
                <w:bCs/>
                <w:color w:val="000000"/>
                <w:sz w:val="24"/>
              </w:rPr>
            </w:pPr>
            <w:r>
              <w:rPr>
                <w:rFonts w:hint="eastAsia" w:ascii="黑体" w:hAnsi="黑体" w:eastAsia="黑体" w:cs="黑体"/>
                <w:b/>
                <w:bCs/>
                <w:color w:val="000000"/>
                <w:kern w:val="0"/>
                <w:sz w:val="24"/>
                <w:lang w:bidi="ar"/>
              </w:rPr>
              <w:t>四</w:t>
            </w:r>
          </w:p>
        </w:tc>
        <w:tc>
          <w:tcPr>
            <w:tcW w:w="147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黑体" w:hAnsi="黑体" w:eastAsia="黑体" w:cs="黑体"/>
              </w:rPr>
            </w:pPr>
            <w:r>
              <w:rPr>
                <w:rFonts w:hint="eastAsia" w:ascii="黑体" w:hAnsi="黑体" w:eastAsia="黑体" w:cs="黑体"/>
                <w:color w:val="000000"/>
                <w:sz w:val="24"/>
              </w:rPr>
              <w:t>能力提升</w:t>
            </w:r>
          </w:p>
        </w:tc>
        <w:tc>
          <w:tcPr>
            <w:tcW w:w="198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楷体_GB2312" w:hAnsi="楷体_GB2312" w:eastAsia="楷体_GB2312" w:cs="楷体_GB2312"/>
                <w:b w:val="0"/>
                <w:bCs w:val="0"/>
                <w:color w:val="000000"/>
                <w:sz w:val="24"/>
              </w:rPr>
            </w:pPr>
            <w:r>
              <w:rPr>
                <w:rFonts w:hint="eastAsia" w:ascii="楷体_GB2312" w:hAnsi="楷体_GB2312" w:eastAsia="楷体_GB2312" w:cs="楷体_GB2312"/>
                <w:b w:val="0"/>
                <w:bCs w:val="0"/>
                <w:color w:val="000000"/>
                <w:kern w:val="0"/>
                <w:sz w:val="24"/>
                <w:lang w:bidi="ar"/>
              </w:rPr>
              <w:t>（一）</w:t>
            </w:r>
            <w:r>
              <w:rPr>
                <w:rFonts w:hint="eastAsia" w:ascii="楷体_GB2312" w:hAnsi="楷体_GB2312" w:eastAsia="楷体_GB2312" w:cs="楷体_GB2312"/>
                <w:b w:val="0"/>
                <w:bCs w:val="0"/>
                <w:color w:val="000000"/>
                <w:sz w:val="24"/>
              </w:rPr>
              <w:t>提升专业技能</w:t>
            </w:r>
          </w:p>
        </w:tc>
        <w:tc>
          <w:tcPr>
            <w:tcW w:w="9174"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textAlignment w:val="center"/>
              <w:rPr>
                <w:rFonts w:ascii="仿宋" w:hAnsi="仿宋" w:eastAsia="仿宋_GB2312" w:cs="仿宋"/>
                <w:color w:val="000000"/>
                <w:sz w:val="24"/>
              </w:rPr>
            </w:pPr>
            <w:r>
              <w:rPr>
                <w:rStyle w:val="14"/>
                <w:rFonts w:hint="default" w:ascii="仿宋_GB2312" w:hAnsi="仿宋_GB2312" w:eastAsia="仿宋_GB2312" w:cs="仿宋_GB2312"/>
                <w:b/>
                <w:bCs/>
                <w:lang w:bidi="ar"/>
              </w:rPr>
              <w:t>1.培育产业工人。</w:t>
            </w:r>
            <w:r>
              <w:rPr>
                <w:rStyle w:val="14"/>
                <w:rFonts w:hint="default" w:ascii="仿宋_GB2312" w:hAnsi="仿宋_GB2312" w:eastAsia="仿宋_GB2312" w:cs="仿宋_GB2312"/>
                <w:lang w:bidi="ar"/>
              </w:rPr>
              <w:t>为产业工人搭建交流学习平台，促进产业工人职业技能提升，推动农民工向产业工人转型。如</w:t>
            </w:r>
            <w:r>
              <w:rPr>
                <w:rStyle w:val="14"/>
                <w:rFonts w:hint="default" w:ascii="仿宋_GB2312" w:hAnsi="仿宋_GB2312" w:eastAsia="仿宋_GB2312" w:cs="仿宋_GB2312"/>
                <w:b/>
                <w:bCs/>
                <w:lang w:bidi="ar"/>
              </w:rPr>
              <w:t>上海、江苏、安徽、山东、广东</w:t>
            </w:r>
            <w:r>
              <w:rPr>
                <w:rStyle w:val="14"/>
                <w:rFonts w:hint="eastAsia" w:ascii="仿宋_GB2312" w:hAnsi="仿宋_GB2312" w:eastAsia="仿宋_GB2312" w:cs="仿宋_GB2312"/>
                <w:b/>
                <w:bCs/>
                <w:lang w:eastAsia="zh-CN" w:bidi="ar"/>
              </w:rPr>
              <w:t>、</w:t>
            </w:r>
            <w:r>
              <w:rPr>
                <w:rStyle w:val="14"/>
                <w:rFonts w:hint="default" w:ascii="仿宋_GB2312" w:hAnsi="仿宋_GB2312" w:eastAsia="仿宋_GB2312" w:cs="仿宋_GB2312"/>
                <w:b/>
                <w:bCs/>
                <w:lang w:bidi="ar"/>
              </w:rPr>
              <w:t>四川</w:t>
            </w:r>
            <w:r>
              <w:rPr>
                <w:rStyle w:val="14"/>
                <w:rFonts w:hint="default" w:ascii="仿宋_GB2312" w:hAnsi="仿宋_GB2312" w:eastAsia="仿宋_GB2312" w:cs="仿宋_GB2312"/>
                <w:b w:val="0"/>
                <w:bCs w:val="0"/>
                <w:lang w:bidi="ar"/>
              </w:rPr>
              <w:t>等地</w:t>
            </w:r>
            <w:r>
              <w:rPr>
                <w:rStyle w:val="14"/>
                <w:rFonts w:hint="default" w:ascii="仿宋_GB2312" w:hAnsi="仿宋_GB2312" w:eastAsia="仿宋_GB2312" w:cs="仿宋_GB2312"/>
                <w:lang w:bidi="ar"/>
              </w:rPr>
              <w:t>定期举办装配式建筑产业工人技能竞赛，为装配式建筑产业工人搭建交流学习平台，促进技能提升</w:t>
            </w:r>
            <w:r>
              <w:rPr>
                <w:rStyle w:val="14"/>
                <w:rFonts w:hint="eastAsia" w:ascii="仿宋_GB2312" w:hAnsi="仿宋_GB2312" w:eastAsia="仿宋_GB2312" w:cs="仿宋_GB2312"/>
                <w:lang w:eastAsia="zh-CN" w:bidi="ar"/>
              </w:rPr>
              <w:t>；</w:t>
            </w:r>
            <w:r>
              <w:rPr>
                <w:rStyle w:val="14"/>
                <w:rFonts w:hint="eastAsia" w:ascii="仿宋_GB2312" w:hAnsi="仿宋_GB2312" w:eastAsia="仿宋_GB2312" w:cs="仿宋_GB2312"/>
                <w:b/>
                <w:bCs/>
                <w:lang w:eastAsia="zh-CN" w:bidi="ar"/>
              </w:rPr>
              <w:t>广东</w:t>
            </w:r>
            <w:r>
              <w:rPr>
                <w:rStyle w:val="14"/>
                <w:rFonts w:hint="default" w:ascii="仿宋_GB2312" w:hAnsi="仿宋_GB2312" w:eastAsia="仿宋_GB2312" w:cs="仿宋_GB2312"/>
                <w:b/>
                <w:bCs/>
                <w:lang w:bidi="ar"/>
              </w:rPr>
              <w:t>广州</w:t>
            </w:r>
            <w:r>
              <w:rPr>
                <w:rStyle w:val="14"/>
                <w:rFonts w:hint="default" w:ascii="仿宋_GB2312" w:hAnsi="仿宋_GB2312" w:eastAsia="仿宋_GB2312" w:cs="仿宋_GB2312"/>
                <w:lang w:bidi="ar"/>
              </w:rPr>
              <w:t>编写《装配式建筑施工教程》，对构件装配工、灌浆工等工种进行实训，选拔装配式项目羊城建筑工匠90名</w:t>
            </w:r>
            <w:r>
              <w:rPr>
                <w:rStyle w:val="14"/>
                <w:rFonts w:hint="eastAsia" w:ascii="仿宋_GB2312" w:hAnsi="仿宋_GB2312" w:eastAsia="仿宋_GB2312" w:cs="仿宋_GB2312"/>
                <w:lang w:eastAsia="zh-CN" w:bidi="ar"/>
              </w:rPr>
              <w:t>；</w:t>
            </w:r>
            <w:r>
              <w:rPr>
                <w:rStyle w:val="14"/>
                <w:rFonts w:hint="default" w:ascii="仿宋_GB2312" w:hAnsi="仿宋_GB2312" w:eastAsia="仿宋_GB2312" w:cs="仿宋_GB2312"/>
                <w:b/>
                <w:bCs/>
                <w:lang w:bidi="ar"/>
              </w:rPr>
              <w:t>湖北</w:t>
            </w:r>
            <w:r>
              <w:rPr>
                <w:rStyle w:val="14"/>
                <w:rFonts w:hint="default" w:ascii="仿宋_GB2312" w:hAnsi="仿宋_GB2312" w:eastAsia="仿宋_GB2312" w:cs="仿宋_GB2312"/>
                <w:lang w:bidi="ar"/>
              </w:rPr>
              <w:t>、</w:t>
            </w:r>
            <w:r>
              <w:rPr>
                <w:rStyle w:val="14"/>
                <w:rFonts w:hint="eastAsia" w:ascii="仿宋_GB2312" w:hAnsi="仿宋_GB2312" w:eastAsia="仿宋_GB2312" w:cs="仿宋_GB2312"/>
                <w:b/>
                <w:bCs/>
                <w:lang w:eastAsia="zh-CN" w:bidi="ar"/>
              </w:rPr>
              <w:t>安徽</w:t>
            </w:r>
            <w:r>
              <w:rPr>
                <w:rStyle w:val="14"/>
                <w:rFonts w:hint="default" w:ascii="仿宋_GB2312" w:hAnsi="仿宋_GB2312" w:eastAsia="仿宋_GB2312" w:cs="仿宋_GB2312"/>
                <w:b/>
                <w:bCs/>
                <w:lang w:bidi="ar"/>
              </w:rPr>
              <w:t>合肥</w:t>
            </w:r>
            <w:r>
              <w:rPr>
                <w:rStyle w:val="14"/>
                <w:rFonts w:hint="default" w:ascii="仿宋_GB2312" w:hAnsi="仿宋_GB2312" w:eastAsia="仿宋_GB2312" w:cs="仿宋_GB2312"/>
                <w:b w:val="0"/>
                <w:bCs w:val="0"/>
                <w:lang w:bidi="ar"/>
              </w:rPr>
              <w:t>等地</w:t>
            </w:r>
            <w:r>
              <w:rPr>
                <w:rFonts w:hint="eastAsia" w:ascii="仿宋_GB2312" w:hAnsi="仿宋_GB2312" w:eastAsia="仿宋_GB2312" w:cs="仿宋_GB2312"/>
                <w:color w:val="000000"/>
                <w:sz w:val="24"/>
              </w:rPr>
              <w:t>实行装配式建筑施工关键岗位培训持证上岗，提升产业工人技能。</w:t>
            </w:r>
          </w:p>
        </w:tc>
      </w:tr>
      <w:tr>
        <w:tblPrEx>
          <w:tblLayout w:type="fixed"/>
          <w:tblCellMar>
            <w:top w:w="0" w:type="dxa"/>
            <w:left w:w="108" w:type="dxa"/>
            <w:bottom w:w="0" w:type="dxa"/>
            <w:right w:w="108" w:type="dxa"/>
          </w:tblCellMar>
        </w:tblPrEx>
        <w:trPr>
          <w:trHeight w:val="1429" w:hRule="atLeast"/>
        </w:trPr>
        <w:tc>
          <w:tcPr>
            <w:tcW w:w="81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黑体" w:hAnsi="黑体" w:eastAsia="黑体" w:cs="黑体"/>
                <w:b/>
                <w:bCs/>
                <w:color w:val="000000"/>
                <w:sz w:val="24"/>
              </w:rPr>
            </w:pPr>
          </w:p>
        </w:tc>
        <w:tc>
          <w:tcPr>
            <w:tcW w:w="147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黑体" w:hAnsi="黑体" w:eastAsia="黑体" w:cs="黑体"/>
                <w:b/>
                <w:bCs/>
                <w:color w:val="000000"/>
                <w:sz w:val="24"/>
              </w:rPr>
            </w:pPr>
          </w:p>
        </w:tc>
        <w:tc>
          <w:tcPr>
            <w:tcW w:w="19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楷体_GB2312" w:hAnsi="楷体_GB2312" w:eastAsia="楷体_GB2312" w:cs="楷体_GB2312"/>
                <w:b w:val="0"/>
                <w:bCs w:val="0"/>
                <w:color w:val="000000"/>
                <w:sz w:val="24"/>
              </w:rPr>
            </w:pPr>
          </w:p>
        </w:tc>
        <w:tc>
          <w:tcPr>
            <w:tcW w:w="9174"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textAlignment w:val="center"/>
              <w:rPr>
                <w:rFonts w:eastAsia="仿宋_GB2312"/>
              </w:rPr>
            </w:pPr>
            <w:r>
              <w:rPr>
                <w:rStyle w:val="14"/>
                <w:rFonts w:hint="default" w:ascii="仿宋_GB2312" w:hAnsi="仿宋_GB2312" w:eastAsia="仿宋_GB2312" w:cs="仿宋_GB2312"/>
                <w:b/>
                <w:bCs/>
                <w:lang w:bidi="ar"/>
              </w:rPr>
              <w:t>2.建设综合性实训基地。</w:t>
            </w:r>
            <w:r>
              <w:rPr>
                <w:rStyle w:val="14"/>
                <w:rFonts w:hint="default" w:ascii="仿宋_GB2312" w:hAnsi="仿宋_GB2312" w:eastAsia="仿宋_GB2312" w:cs="仿宋_GB2312"/>
                <w:lang w:bidi="ar"/>
              </w:rPr>
              <w:t>根据装配式建筑关键工种技能需要及技术发展方向，建设综合性实训基地，开展关键岗位作业人员培训。如</w:t>
            </w:r>
            <w:r>
              <w:rPr>
                <w:rStyle w:val="14"/>
                <w:rFonts w:hint="default" w:ascii="仿宋_GB2312" w:hAnsi="仿宋_GB2312" w:eastAsia="仿宋_GB2312" w:cs="仿宋_GB2312"/>
                <w:b/>
                <w:bCs/>
                <w:lang w:bidi="ar"/>
              </w:rPr>
              <w:t>山东</w:t>
            </w:r>
            <w:r>
              <w:rPr>
                <w:rStyle w:val="14"/>
                <w:rFonts w:hint="default" w:ascii="仿宋_GB2312" w:hAnsi="仿宋_GB2312" w:eastAsia="仿宋_GB2312" w:cs="仿宋_GB2312"/>
                <w:lang w:bidi="ar"/>
              </w:rPr>
              <w:t>创建18所省级装配式建筑体验教育基地，推动校企合作建设装配式建筑实训基地；</w:t>
            </w:r>
            <w:r>
              <w:rPr>
                <w:rStyle w:val="14"/>
                <w:rFonts w:hint="default" w:ascii="仿宋_GB2312" w:hAnsi="仿宋_GB2312" w:eastAsia="仿宋_GB2312" w:cs="仿宋_GB2312"/>
                <w:b/>
                <w:bCs/>
                <w:lang w:bidi="ar"/>
              </w:rPr>
              <w:t>福建</w:t>
            </w:r>
            <w:r>
              <w:rPr>
                <w:rFonts w:hint="eastAsia" w:ascii="仿宋_GB2312" w:hAnsi="仿宋_GB2312" w:eastAsia="仿宋_GB2312" w:cs="仿宋_GB2312"/>
                <w:sz w:val="24"/>
              </w:rPr>
              <w:t>支持9家骨干企业成立装配式建筑工人培训基地，累计培训产业工人超过5500人。</w:t>
            </w:r>
          </w:p>
        </w:tc>
      </w:tr>
      <w:tr>
        <w:tblPrEx>
          <w:tblLayout w:type="fixed"/>
        </w:tblPrEx>
        <w:trPr>
          <w:trHeight w:val="1652" w:hRule="atLeast"/>
        </w:trPr>
        <w:tc>
          <w:tcPr>
            <w:tcW w:w="81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黑体" w:hAnsi="黑体" w:eastAsia="黑体" w:cs="黑体"/>
                <w:b/>
                <w:bCs/>
                <w:color w:val="000000"/>
                <w:sz w:val="24"/>
              </w:rPr>
            </w:pPr>
          </w:p>
        </w:tc>
        <w:tc>
          <w:tcPr>
            <w:tcW w:w="147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黑体" w:hAnsi="黑体" w:eastAsia="黑体" w:cs="黑体"/>
                <w:b/>
                <w:bCs/>
                <w:color w:val="000000"/>
                <w:sz w:val="24"/>
              </w:rPr>
            </w:pPr>
          </w:p>
        </w:tc>
        <w:tc>
          <w:tcPr>
            <w:tcW w:w="198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楷体_GB2312" w:hAnsi="楷体_GB2312" w:eastAsia="楷体_GB2312" w:cs="楷体_GB2312"/>
                <w:b w:val="0"/>
                <w:bCs w:val="0"/>
                <w:color w:val="000000"/>
                <w:sz w:val="24"/>
              </w:rPr>
            </w:pPr>
            <w:r>
              <w:rPr>
                <w:rFonts w:hint="eastAsia" w:ascii="楷体_GB2312" w:hAnsi="楷体_GB2312" w:eastAsia="楷体_GB2312" w:cs="楷体_GB2312"/>
                <w:b w:val="0"/>
                <w:bCs w:val="0"/>
                <w:color w:val="000000"/>
                <w:kern w:val="0"/>
                <w:sz w:val="24"/>
                <w:lang w:bidi="ar"/>
              </w:rPr>
              <w:t>（二）提升管理能力</w:t>
            </w:r>
          </w:p>
        </w:tc>
        <w:tc>
          <w:tcPr>
            <w:tcW w:w="9174"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textAlignment w:val="center"/>
              <w:rPr>
                <w:rFonts w:ascii="仿宋" w:hAnsi="仿宋" w:eastAsia="仿宋" w:cs="仿宋"/>
                <w:color w:val="000000"/>
                <w:sz w:val="24"/>
              </w:rPr>
            </w:pPr>
            <w:r>
              <w:rPr>
                <w:rStyle w:val="14"/>
                <w:rFonts w:hint="default" w:ascii="仿宋_GB2312" w:hAnsi="仿宋_GB2312" w:eastAsia="仿宋_GB2312" w:cs="仿宋_GB2312"/>
                <w:b/>
                <w:bCs/>
                <w:lang w:bidi="ar"/>
              </w:rPr>
              <w:t>1.开展管理人员培训。</w:t>
            </w:r>
            <w:r>
              <w:rPr>
                <w:rStyle w:val="14"/>
                <w:rFonts w:hint="default" w:ascii="仿宋_GB2312" w:hAnsi="仿宋_GB2312" w:eastAsia="仿宋_GB2312" w:cs="仿宋_GB2312"/>
                <w:lang w:bidi="ar"/>
              </w:rPr>
              <w:t>针对装配式建造方式的新特点，加强组织管理人员的培训和知识更新。如</w:t>
            </w:r>
            <w:r>
              <w:rPr>
                <w:rStyle w:val="14"/>
                <w:rFonts w:hint="default" w:ascii="仿宋_GB2312" w:hAnsi="仿宋_GB2312" w:eastAsia="仿宋_GB2312" w:cs="仿宋_GB2312"/>
                <w:b/>
                <w:bCs/>
                <w:lang w:bidi="ar"/>
              </w:rPr>
              <w:t>北京</w:t>
            </w:r>
            <w:r>
              <w:rPr>
                <w:rStyle w:val="14"/>
                <w:rFonts w:hint="default" w:ascii="仿宋_GB2312" w:hAnsi="仿宋_GB2312" w:eastAsia="仿宋_GB2312" w:cs="仿宋_GB2312"/>
                <w:lang w:bidi="ar"/>
              </w:rPr>
              <w:t>通过组织装配式建筑公益讲座、全市装配式建筑管理干部培训班等，自2015年起，累计培训</w:t>
            </w:r>
            <w:r>
              <w:rPr>
                <w:rStyle w:val="14"/>
                <w:rFonts w:hint="eastAsia" w:ascii="仿宋_GB2312" w:hAnsi="仿宋_GB2312" w:eastAsia="仿宋_GB2312" w:cs="仿宋_GB2312"/>
                <w:lang w:eastAsia="zh-CN" w:bidi="ar"/>
              </w:rPr>
              <w:t>专业人员和</w:t>
            </w:r>
            <w:r>
              <w:rPr>
                <w:rStyle w:val="14"/>
                <w:rFonts w:hint="default" w:ascii="仿宋_GB2312" w:hAnsi="仿宋_GB2312" w:eastAsia="仿宋_GB2312" w:cs="仿宋_GB2312"/>
                <w:lang w:bidi="ar"/>
              </w:rPr>
              <w:t>政府部门管理人员超过3000人</w:t>
            </w:r>
            <w:r>
              <w:rPr>
                <w:rStyle w:val="14"/>
                <w:rFonts w:hint="eastAsia" w:ascii="仿宋_GB2312" w:hAnsi="仿宋_GB2312" w:eastAsia="仿宋_GB2312" w:cs="仿宋_GB2312"/>
                <w:lang w:eastAsia="zh-CN" w:bidi="ar"/>
              </w:rPr>
              <w:t>次</w:t>
            </w:r>
            <w:r>
              <w:rPr>
                <w:rStyle w:val="14"/>
                <w:rFonts w:hint="default" w:ascii="仿宋_GB2312" w:hAnsi="仿宋_GB2312" w:eastAsia="仿宋_GB2312" w:cs="仿宋_GB2312"/>
                <w:lang w:bidi="ar"/>
              </w:rPr>
              <w:t>；</w:t>
            </w:r>
            <w:r>
              <w:rPr>
                <w:rStyle w:val="14"/>
                <w:rFonts w:hint="default" w:ascii="仿宋_GB2312" w:hAnsi="仿宋_GB2312" w:eastAsia="仿宋_GB2312" w:cs="仿宋_GB2312"/>
                <w:b/>
                <w:bCs/>
                <w:lang w:bidi="ar"/>
              </w:rPr>
              <w:t>山东</w:t>
            </w:r>
            <w:r>
              <w:rPr>
                <w:rStyle w:val="14"/>
                <w:rFonts w:hint="default" w:ascii="仿宋_GB2312" w:hAnsi="仿宋_GB2312" w:eastAsia="仿宋_GB2312" w:cs="仿宋_GB2312"/>
                <w:lang w:bidi="ar"/>
              </w:rPr>
              <w:t>实施建筑工程技术管理人员知识更新工程，将装配式建筑纳入有关继续教育内容，先后举办5期装配式建筑技术培训班，培训人</w:t>
            </w:r>
            <w:r>
              <w:rPr>
                <w:rStyle w:val="14"/>
                <w:rFonts w:hint="eastAsia" w:ascii="仿宋_GB2312" w:hAnsi="仿宋_GB2312" w:eastAsia="仿宋_GB2312" w:cs="仿宋_GB2312"/>
                <w:lang w:eastAsia="zh-CN" w:bidi="ar"/>
              </w:rPr>
              <w:t>员</w:t>
            </w:r>
            <w:r>
              <w:rPr>
                <w:rStyle w:val="14"/>
                <w:rFonts w:hint="default" w:ascii="仿宋_GB2312" w:hAnsi="仿宋_GB2312" w:eastAsia="仿宋_GB2312" w:cs="仿宋_GB2312"/>
                <w:lang w:bidi="ar"/>
              </w:rPr>
              <w:t>达1000余人</w:t>
            </w:r>
            <w:r>
              <w:rPr>
                <w:rStyle w:val="14"/>
                <w:rFonts w:hint="eastAsia" w:ascii="仿宋_GB2312" w:hAnsi="仿宋_GB2312" w:eastAsia="仿宋_GB2312" w:cs="仿宋_GB2312"/>
                <w:lang w:eastAsia="zh-CN" w:bidi="ar"/>
              </w:rPr>
              <w:t>次</w:t>
            </w:r>
            <w:r>
              <w:rPr>
                <w:rStyle w:val="14"/>
                <w:rFonts w:hint="default" w:ascii="仿宋_GB2312" w:hAnsi="仿宋_GB2312" w:eastAsia="仿宋_GB2312" w:cs="仿宋_GB2312"/>
                <w:lang w:bidi="ar"/>
              </w:rPr>
              <w:t>。</w:t>
            </w:r>
          </w:p>
        </w:tc>
      </w:tr>
      <w:tr>
        <w:tblPrEx>
          <w:tblLayout w:type="fixed"/>
          <w:tblCellMar>
            <w:top w:w="0" w:type="dxa"/>
            <w:left w:w="108" w:type="dxa"/>
            <w:bottom w:w="0" w:type="dxa"/>
            <w:right w:w="108" w:type="dxa"/>
          </w:tblCellMar>
        </w:tblPrEx>
        <w:trPr>
          <w:trHeight w:val="1248" w:hRule="atLeast"/>
        </w:trPr>
        <w:tc>
          <w:tcPr>
            <w:tcW w:w="81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黑体" w:hAnsi="黑体" w:eastAsia="黑体" w:cs="黑体"/>
                <w:b/>
                <w:bCs/>
                <w:color w:val="000000"/>
                <w:sz w:val="24"/>
              </w:rPr>
            </w:pPr>
          </w:p>
        </w:tc>
        <w:tc>
          <w:tcPr>
            <w:tcW w:w="147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黑体" w:hAnsi="黑体" w:eastAsia="黑体" w:cs="黑体"/>
                <w:b/>
                <w:bCs/>
                <w:color w:val="000000"/>
                <w:sz w:val="24"/>
              </w:rPr>
            </w:pPr>
          </w:p>
        </w:tc>
        <w:tc>
          <w:tcPr>
            <w:tcW w:w="19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楷体_GB2312" w:hAnsi="楷体_GB2312" w:eastAsia="楷体_GB2312" w:cs="楷体_GB2312"/>
                <w:b w:val="0"/>
                <w:bCs w:val="0"/>
                <w:color w:val="000000"/>
                <w:kern w:val="0"/>
                <w:sz w:val="24"/>
                <w:lang w:bidi="ar"/>
              </w:rPr>
            </w:pPr>
          </w:p>
        </w:tc>
        <w:tc>
          <w:tcPr>
            <w:tcW w:w="9174"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textAlignment w:val="center"/>
              <w:rPr>
                <w:rStyle w:val="14"/>
                <w:rFonts w:hint="default" w:ascii="仿宋_GB2312" w:hAnsi="仿宋_GB2312" w:eastAsia="仿宋_GB2312" w:cs="仿宋_GB2312"/>
                <w:b/>
                <w:bCs/>
                <w:lang w:bidi="ar"/>
              </w:rPr>
            </w:pPr>
            <w:r>
              <w:rPr>
                <w:rStyle w:val="13"/>
                <w:rFonts w:hint="eastAsia" w:ascii="仿宋_GB2312" w:hAnsi="仿宋_GB2312" w:eastAsia="仿宋_GB2312" w:cs="仿宋_GB2312"/>
                <w:lang w:val="en-US" w:eastAsia="zh-CN" w:bidi="ar"/>
              </w:rPr>
              <w:t>2</w:t>
            </w:r>
            <w:r>
              <w:rPr>
                <w:rStyle w:val="13"/>
                <w:rFonts w:hint="default" w:ascii="仿宋_GB2312" w:hAnsi="仿宋_GB2312" w:eastAsia="仿宋_GB2312" w:cs="仿宋_GB2312"/>
                <w:lang w:bidi="ar"/>
              </w:rPr>
              <w:t>.增设装配式建筑专业技术职称。</w:t>
            </w:r>
            <w:r>
              <w:rPr>
                <w:rStyle w:val="14"/>
                <w:rFonts w:hint="default" w:ascii="仿宋_GB2312" w:hAnsi="仿宋_GB2312" w:eastAsia="仿宋_GB2312" w:cs="仿宋_GB2312"/>
                <w:lang w:bidi="ar"/>
              </w:rPr>
              <w:t>推动装配式建筑全产业链技术人员职业职称发展</w:t>
            </w:r>
            <w:r>
              <w:rPr>
                <w:rStyle w:val="14"/>
                <w:rFonts w:hint="eastAsia" w:ascii="仿宋_GB2312" w:hAnsi="仿宋_GB2312" w:eastAsia="仿宋_GB2312" w:cs="仿宋_GB2312"/>
                <w:lang w:eastAsia="zh-CN" w:bidi="ar"/>
              </w:rPr>
              <w:t>，提升职业认同和荣誉感。</w:t>
            </w:r>
            <w:r>
              <w:rPr>
                <w:rStyle w:val="14"/>
                <w:rFonts w:hint="eastAsia" w:ascii="仿宋_GB2312" w:hAnsi="仿宋_GB2312" w:eastAsia="仿宋_GB2312" w:cs="仿宋_GB2312"/>
                <w:b/>
                <w:bCs/>
                <w:lang w:eastAsia="zh-CN" w:bidi="ar"/>
              </w:rPr>
              <w:t>广东</w:t>
            </w:r>
            <w:r>
              <w:rPr>
                <w:rStyle w:val="14"/>
                <w:rFonts w:hint="default" w:ascii="仿宋_GB2312" w:hAnsi="仿宋_GB2312" w:eastAsia="仿宋_GB2312" w:cs="仿宋_GB2312"/>
                <w:b/>
                <w:bCs/>
                <w:lang w:bidi="ar"/>
              </w:rPr>
              <w:t>深圳</w:t>
            </w:r>
            <w:r>
              <w:rPr>
                <w:rStyle w:val="14"/>
                <w:rFonts w:hint="default" w:ascii="仿宋_GB2312" w:hAnsi="仿宋_GB2312" w:eastAsia="仿宋_GB2312" w:cs="仿宋_GB2312"/>
                <w:lang w:bidi="ar"/>
              </w:rPr>
              <w:t>创造性地开展装配式建筑助理、中、高和正高级职称评审，增强装配式建筑行业对高端人才的吸引力。截至2021年，共590人获得装配式建筑专业技术职称，</w:t>
            </w:r>
            <w:r>
              <w:rPr>
                <w:rStyle w:val="14"/>
                <w:rFonts w:hint="eastAsia" w:ascii="仿宋_GB2312" w:hAnsi="仿宋_GB2312" w:eastAsia="仿宋_GB2312" w:cs="仿宋_GB2312"/>
                <w:lang w:eastAsia="zh-CN" w:bidi="ar"/>
              </w:rPr>
              <w:t>其中包括</w:t>
            </w:r>
            <w:r>
              <w:rPr>
                <w:rStyle w:val="14"/>
                <w:rFonts w:hint="default" w:ascii="仿宋_GB2312" w:hAnsi="仿宋_GB2312" w:eastAsia="仿宋_GB2312" w:cs="仿宋_GB2312"/>
                <w:lang w:bidi="ar"/>
              </w:rPr>
              <w:t>8</w:t>
            </w:r>
            <w:r>
              <w:rPr>
                <w:rStyle w:val="14"/>
                <w:rFonts w:hint="eastAsia" w:ascii="仿宋_GB2312" w:hAnsi="仿宋_GB2312" w:eastAsia="仿宋_GB2312" w:cs="仿宋_GB2312"/>
                <w:lang w:eastAsia="zh-CN" w:bidi="ar"/>
              </w:rPr>
              <w:t>名</w:t>
            </w:r>
            <w:r>
              <w:rPr>
                <w:rStyle w:val="14"/>
                <w:rFonts w:hint="default" w:ascii="仿宋_GB2312" w:hAnsi="仿宋_GB2312" w:eastAsia="仿宋_GB2312" w:cs="仿宋_GB2312"/>
                <w:lang w:bidi="ar"/>
              </w:rPr>
              <w:t>装配式建筑正高级工程师</w:t>
            </w:r>
            <w:r>
              <w:rPr>
                <w:rStyle w:val="14"/>
                <w:rFonts w:hint="eastAsia" w:ascii="仿宋_GB2312" w:hAnsi="仿宋_GB2312" w:eastAsia="仿宋_GB2312" w:cs="仿宋_GB2312"/>
                <w:lang w:eastAsia="zh-CN" w:bidi="ar"/>
              </w:rPr>
              <w:t>；</w:t>
            </w:r>
            <w:r>
              <w:rPr>
                <w:rStyle w:val="14"/>
                <w:rFonts w:hint="eastAsia" w:ascii="仿宋_GB2312" w:hAnsi="仿宋_GB2312" w:eastAsia="仿宋_GB2312" w:cs="仿宋_GB2312"/>
                <w:b/>
                <w:bCs/>
                <w:lang w:eastAsia="zh-CN" w:bidi="ar"/>
              </w:rPr>
              <w:t>浙江</w:t>
            </w:r>
            <w:r>
              <w:rPr>
                <w:rStyle w:val="14"/>
                <w:rFonts w:hint="default" w:ascii="仿宋_GB2312" w:hAnsi="仿宋_GB2312" w:eastAsia="仿宋_GB2312" w:cs="仿宋_GB2312"/>
                <w:b/>
                <w:bCs/>
                <w:lang w:bidi="ar"/>
              </w:rPr>
              <w:t>绍兴</w:t>
            </w:r>
            <w:r>
              <w:rPr>
                <w:rStyle w:val="14"/>
                <w:rFonts w:hint="default" w:ascii="仿宋_GB2312" w:hAnsi="仿宋_GB2312" w:eastAsia="仿宋_GB2312" w:cs="仿宋_GB2312"/>
                <w:lang w:bidi="ar"/>
              </w:rPr>
              <w:t>建立“分散培训、统一考核”装配式建筑产业工人技能培训考核评鉴模式，在全省率先增加装配式建筑设计、施工、生产中级职称系列。</w:t>
            </w:r>
          </w:p>
        </w:tc>
      </w:tr>
      <w:tr>
        <w:tblPrEx>
          <w:tblLayout w:type="fixed"/>
          <w:tblCellMar>
            <w:top w:w="0" w:type="dxa"/>
            <w:left w:w="108" w:type="dxa"/>
            <w:bottom w:w="0" w:type="dxa"/>
            <w:right w:w="108" w:type="dxa"/>
          </w:tblCellMar>
        </w:tblPrEx>
        <w:trPr>
          <w:trHeight w:val="752" w:hRule="atLeast"/>
        </w:trPr>
        <w:tc>
          <w:tcPr>
            <w:tcW w:w="81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黑体" w:hAnsi="黑体" w:eastAsia="黑体" w:cs="黑体"/>
                <w:color w:val="000000"/>
                <w:sz w:val="24"/>
              </w:rPr>
            </w:pPr>
            <w:r>
              <w:rPr>
                <w:rFonts w:hint="eastAsia" w:ascii="黑体" w:hAnsi="黑体" w:eastAsia="黑体" w:cs="黑体"/>
                <w:color w:val="000000"/>
                <w:kern w:val="0"/>
                <w:sz w:val="24"/>
                <w:lang w:bidi="ar"/>
              </w:rPr>
              <w:t>五</w:t>
            </w:r>
          </w:p>
        </w:tc>
        <w:tc>
          <w:tcPr>
            <w:tcW w:w="1470" w:type="dxa"/>
            <w:vMerge w:val="restart"/>
            <w:tcBorders>
              <w:top w:val="single" w:color="000000" w:sz="8" w:space="0"/>
              <w:left w:val="single" w:color="000000" w:sz="8" w:space="0"/>
              <w:bottom w:val="single" w:color="auto" w:sz="4" w:space="0"/>
              <w:right w:val="single" w:color="000000" w:sz="8" w:space="0"/>
            </w:tcBorders>
            <w:shd w:val="clear" w:color="auto" w:fill="auto"/>
            <w:vAlign w:val="center"/>
          </w:tcPr>
          <w:p>
            <w:pPr>
              <w:widowControl/>
              <w:jc w:val="center"/>
              <w:textAlignment w:val="center"/>
              <w:rPr>
                <w:rFonts w:hint="eastAsia" w:ascii="黑体" w:hAnsi="黑体" w:eastAsia="黑体" w:cs="黑体"/>
                <w:color w:val="000000"/>
                <w:sz w:val="24"/>
              </w:rPr>
            </w:pPr>
            <w:r>
              <w:rPr>
                <w:rFonts w:hint="eastAsia" w:ascii="黑体" w:hAnsi="黑体" w:eastAsia="黑体" w:cs="黑体"/>
                <w:color w:val="000000"/>
                <w:kern w:val="0"/>
                <w:sz w:val="24"/>
                <w:lang w:bidi="ar"/>
              </w:rPr>
              <w:t>监督管理</w:t>
            </w:r>
          </w:p>
        </w:tc>
        <w:tc>
          <w:tcPr>
            <w:tcW w:w="198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楷体_GB2312" w:hAnsi="楷体_GB2312" w:eastAsia="楷体_GB2312" w:cs="楷体_GB2312"/>
                <w:b w:val="0"/>
                <w:bCs w:val="0"/>
                <w:color w:val="000000"/>
                <w:sz w:val="24"/>
              </w:rPr>
            </w:pPr>
            <w:r>
              <w:rPr>
                <w:rFonts w:hint="eastAsia" w:ascii="楷体_GB2312" w:hAnsi="楷体_GB2312" w:eastAsia="楷体_GB2312" w:cs="楷体_GB2312"/>
                <w:b w:val="0"/>
                <w:bCs w:val="0"/>
                <w:color w:val="000000"/>
                <w:kern w:val="0"/>
                <w:sz w:val="24"/>
                <w:lang w:bidi="ar"/>
              </w:rPr>
              <w:t>（一）加强各环节质量管控</w:t>
            </w:r>
          </w:p>
        </w:tc>
        <w:tc>
          <w:tcPr>
            <w:tcW w:w="9174" w:type="dxa"/>
            <w:tcBorders>
              <w:top w:val="single" w:color="000000" w:sz="8" w:space="0"/>
              <w:left w:val="single" w:color="000000" w:sz="8" w:space="0"/>
              <w:bottom w:val="single" w:color="000000" w:sz="4" w:space="0"/>
              <w:right w:val="single" w:color="000000" w:sz="8" w:space="0"/>
            </w:tcBorders>
            <w:shd w:val="clear" w:color="auto" w:fill="auto"/>
            <w:vAlign w:val="center"/>
          </w:tcPr>
          <w:p>
            <w:pPr>
              <w:widowControl/>
              <w:textAlignment w:val="center"/>
              <w:rPr>
                <w:rFonts w:ascii="仿宋" w:hAnsi="仿宋" w:eastAsia="仿宋" w:cs="仿宋"/>
                <w:color w:val="000000"/>
                <w:sz w:val="24"/>
              </w:rPr>
            </w:pPr>
            <w:r>
              <w:rPr>
                <w:rStyle w:val="13"/>
                <w:rFonts w:hint="default" w:ascii="仿宋_GB2312" w:hAnsi="仿宋_GB2312" w:eastAsia="仿宋_GB2312" w:cs="仿宋_GB2312"/>
                <w:lang w:bidi="ar"/>
              </w:rPr>
              <w:t>1.严格把控设计质量。</w:t>
            </w:r>
            <w:r>
              <w:rPr>
                <w:rStyle w:val="13"/>
                <w:rFonts w:hint="default" w:ascii="仿宋_GB2312" w:hAnsi="仿宋_GB2312" w:eastAsia="仿宋_GB2312" w:cs="仿宋_GB2312"/>
                <w:b w:val="0"/>
                <w:bCs w:val="0"/>
                <w:lang w:bidi="ar"/>
              </w:rPr>
              <w:t>强化设计审查，加强设计引领，确保设计方案合理、合法、合规。</w:t>
            </w:r>
            <w:r>
              <w:rPr>
                <w:rStyle w:val="13"/>
                <w:rFonts w:hint="default" w:ascii="仿宋_GB2312" w:hAnsi="仿宋_GB2312" w:eastAsia="仿宋_GB2312" w:cs="仿宋_GB2312"/>
                <w:color w:val="auto"/>
                <w:lang w:bidi="ar"/>
              </w:rPr>
              <w:t>北京、上海等地</w:t>
            </w:r>
            <w:r>
              <w:rPr>
                <w:rStyle w:val="13"/>
                <w:rFonts w:hint="default" w:ascii="仿宋_GB2312" w:hAnsi="仿宋_GB2312" w:eastAsia="仿宋_GB2312" w:cs="仿宋_GB2312"/>
                <w:b w:val="0"/>
                <w:color w:val="auto"/>
                <w:lang w:bidi="ar"/>
              </w:rPr>
              <w:t>出台装配式混凝土建筑工程设计文件深度规定及审查要点，建立装配式建筑专家库，在设计阶段对装配式项目实施技术方案专家预评审论证</w:t>
            </w:r>
            <w:r>
              <w:rPr>
                <w:rStyle w:val="13"/>
                <w:rFonts w:hint="eastAsia" w:ascii="仿宋_GB2312" w:hAnsi="仿宋_GB2312" w:eastAsia="仿宋_GB2312" w:cs="仿宋_GB2312"/>
                <w:b w:val="0"/>
                <w:color w:val="auto"/>
                <w:lang w:eastAsia="zh-CN" w:bidi="ar"/>
              </w:rPr>
              <w:t>，</w:t>
            </w:r>
            <w:r>
              <w:rPr>
                <w:rStyle w:val="13"/>
                <w:rFonts w:hint="default" w:ascii="仿宋_GB2312" w:hAnsi="仿宋_GB2312" w:eastAsia="仿宋_GB2312" w:cs="仿宋_GB2312"/>
                <w:b w:val="0"/>
                <w:color w:val="auto"/>
                <w:lang w:bidi="ar"/>
              </w:rPr>
              <w:t>开展装配式建筑施工图专项审查，加强设计与施工有效衔接</w:t>
            </w:r>
            <w:r>
              <w:rPr>
                <w:rStyle w:val="13"/>
                <w:rFonts w:hint="eastAsia" w:ascii="仿宋_GB2312" w:hAnsi="仿宋_GB2312" w:eastAsia="仿宋_GB2312" w:cs="仿宋_GB2312"/>
                <w:b w:val="0"/>
                <w:color w:val="auto"/>
                <w:lang w:eastAsia="zh-CN" w:bidi="ar"/>
              </w:rPr>
              <w:t>；</w:t>
            </w:r>
            <w:r>
              <w:rPr>
                <w:rStyle w:val="13"/>
                <w:rFonts w:hint="eastAsia" w:ascii="仿宋_GB2312" w:hAnsi="仿宋_GB2312" w:eastAsia="仿宋_GB2312" w:cs="仿宋_GB2312"/>
                <w:b/>
                <w:bCs w:val="0"/>
                <w:color w:val="auto"/>
                <w:lang w:eastAsia="zh-CN" w:bidi="ar"/>
              </w:rPr>
              <w:t>山西</w:t>
            </w:r>
            <w:r>
              <w:rPr>
                <w:rStyle w:val="13"/>
                <w:rFonts w:hint="default" w:ascii="仿宋_GB2312" w:hAnsi="仿宋_GB2312" w:eastAsia="仿宋_GB2312" w:cs="仿宋_GB2312"/>
                <w:bCs w:val="0"/>
                <w:color w:val="auto"/>
                <w:lang w:bidi="ar"/>
              </w:rPr>
              <w:t>太原</w:t>
            </w:r>
            <w:r>
              <w:rPr>
                <w:rStyle w:val="13"/>
                <w:rFonts w:hint="default" w:ascii="仿宋_GB2312" w:hAnsi="仿宋_GB2312" w:eastAsia="仿宋_GB2312" w:cs="仿宋_GB2312"/>
                <w:b w:val="0"/>
                <w:color w:val="auto"/>
                <w:lang w:bidi="ar"/>
              </w:rPr>
              <w:t>对设计单位落实装配式建筑政策情况开展日常监督检查，对装配式建筑设计阶段指标落实情况及施工现场实施情况按照“双随机、一公开”进行监督检查。</w:t>
            </w:r>
          </w:p>
        </w:tc>
      </w:tr>
      <w:tr>
        <w:tblPrEx>
          <w:tblLayout w:type="fixed"/>
          <w:tblCellMar>
            <w:top w:w="0" w:type="dxa"/>
            <w:left w:w="108" w:type="dxa"/>
            <w:bottom w:w="0" w:type="dxa"/>
            <w:right w:w="108" w:type="dxa"/>
          </w:tblCellMar>
        </w:tblPrEx>
        <w:trPr>
          <w:trHeight w:val="1014" w:hRule="atLeast"/>
        </w:trPr>
        <w:tc>
          <w:tcPr>
            <w:tcW w:w="81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黑体" w:hAnsi="黑体" w:eastAsia="黑体" w:cs="黑体"/>
                <w:color w:val="000000"/>
                <w:sz w:val="24"/>
              </w:rPr>
            </w:pPr>
          </w:p>
        </w:tc>
        <w:tc>
          <w:tcPr>
            <w:tcW w:w="1470" w:type="dxa"/>
            <w:vMerge w:val="continue"/>
            <w:tcBorders>
              <w:top w:val="single" w:color="auto" w:sz="4" w:space="0"/>
              <w:left w:val="single" w:color="000000" w:sz="8" w:space="0"/>
              <w:bottom w:val="single" w:color="auto" w:sz="4" w:space="0"/>
              <w:right w:val="single" w:color="000000" w:sz="8" w:space="0"/>
            </w:tcBorders>
            <w:shd w:val="clear" w:color="auto" w:fill="auto"/>
            <w:vAlign w:val="center"/>
          </w:tcPr>
          <w:p>
            <w:pPr>
              <w:jc w:val="center"/>
              <w:rPr>
                <w:rFonts w:hint="eastAsia" w:ascii="黑体" w:hAnsi="黑体" w:eastAsia="黑体" w:cs="黑体"/>
                <w:color w:val="000000"/>
                <w:sz w:val="24"/>
              </w:rPr>
            </w:pPr>
          </w:p>
        </w:tc>
        <w:tc>
          <w:tcPr>
            <w:tcW w:w="19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楷体_GB2312" w:hAnsi="楷体_GB2312" w:eastAsia="楷体_GB2312" w:cs="楷体_GB2312"/>
                <w:b w:val="0"/>
                <w:bCs w:val="0"/>
                <w:color w:val="000000"/>
                <w:sz w:val="24"/>
              </w:rPr>
            </w:pPr>
          </w:p>
        </w:tc>
        <w:tc>
          <w:tcPr>
            <w:tcW w:w="9174" w:type="dxa"/>
            <w:tcBorders>
              <w:top w:val="single" w:color="000000" w:sz="4" w:space="0"/>
              <w:left w:val="single" w:color="000000" w:sz="8" w:space="0"/>
              <w:bottom w:val="single" w:color="000000" w:sz="4" w:space="0"/>
              <w:right w:val="single" w:color="000000" w:sz="8" w:space="0"/>
            </w:tcBorders>
            <w:shd w:val="clear" w:color="auto" w:fill="auto"/>
            <w:vAlign w:val="center"/>
          </w:tcPr>
          <w:p>
            <w:pPr>
              <w:jc w:val="left"/>
              <w:rPr>
                <w:rFonts w:ascii="仿宋" w:hAnsi="仿宋" w:eastAsia="仿宋" w:cs="仿宋"/>
                <w:color w:val="000000"/>
                <w:sz w:val="24"/>
              </w:rPr>
            </w:pPr>
            <w:r>
              <w:rPr>
                <w:rStyle w:val="13"/>
                <w:rFonts w:hint="default" w:ascii="仿宋_GB2312" w:hAnsi="仿宋_GB2312" w:eastAsia="仿宋_GB2312" w:cs="仿宋_GB2312"/>
                <w:lang w:bidi="ar"/>
              </w:rPr>
              <w:t>2.加强预制构件生产质量监管。</w:t>
            </w:r>
            <w:r>
              <w:rPr>
                <w:rStyle w:val="13"/>
                <w:rFonts w:hint="default" w:ascii="仿宋_GB2312" w:hAnsi="仿宋_GB2312" w:eastAsia="仿宋_GB2312" w:cs="仿宋_GB2312"/>
                <w:b w:val="0"/>
                <w:bCs w:val="0"/>
                <w:lang w:bidi="ar"/>
              </w:rPr>
              <w:t>明确对预制混凝土构件生产环节的质量监管</w:t>
            </w:r>
            <w:r>
              <w:rPr>
                <w:rStyle w:val="13"/>
                <w:rFonts w:hint="eastAsia" w:ascii="仿宋_GB2312" w:hAnsi="仿宋_GB2312" w:eastAsia="仿宋_GB2312" w:cs="仿宋_GB2312"/>
                <w:b w:val="0"/>
                <w:bCs w:val="0"/>
                <w:lang w:eastAsia="zh-CN" w:bidi="ar"/>
              </w:rPr>
              <w:t>措施</w:t>
            </w:r>
            <w:r>
              <w:rPr>
                <w:rStyle w:val="13"/>
                <w:rFonts w:hint="default" w:ascii="仿宋_GB2312" w:hAnsi="仿宋_GB2312" w:eastAsia="仿宋_GB2312" w:cs="仿宋_GB2312"/>
                <w:b w:val="0"/>
                <w:bCs w:val="0"/>
                <w:lang w:bidi="ar"/>
              </w:rPr>
              <w:t>，确保预制构件生产质量</w:t>
            </w:r>
            <w:r>
              <w:rPr>
                <w:rStyle w:val="13"/>
                <w:rFonts w:hint="default" w:ascii="仿宋_GB2312" w:hAnsi="仿宋_GB2312" w:eastAsia="仿宋_GB2312" w:cs="仿宋_GB2312"/>
                <w:b w:val="0"/>
                <w:color w:val="auto"/>
                <w:lang w:bidi="ar"/>
              </w:rPr>
              <w:t>。</w:t>
            </w:r>
            <w:r>
              <w:rPr>
                <w:rStyle w:val="14"/>
                <w:rFonts w:hint="default" w:ascii="仿宋_GB2312" w:hAnsi="仿宋_GB2312" w:eastAsia="仿宋_GB2312" w:cs="仿宋_GB2312"/>
                <w:b/>
                <w:color w:val="auto"/>
                <w:lang w:bidi="ar"/>
              </w:rPr>
              <w:t>北京、辽宁、上海、江苏、安徽、福建、广东</w:t>
            </w:r>
            <w:r>
              <w:rPr>
                <w:rStyle w:val="14"/>
                <w:rFonts w:hint="eastAsia" w:ascii="仿宋_GB2312" w:hAnsi="仿宋_GB2312" w:eastAsia="仿宋_GB2312" w:cs="仿宋_GB2312"/>
                <w:b/>
                <w:color w:val="auto"/>
                <w:lang w:eastAsia="zh-CN" w:bidi="ar"/>
              </w:rPr>
              <w:t>、</w:t>
            </w:r>
            <w:r>
              <w:rPr>
                <w:rStyle w:val="14"/>
                <w:rFonts w:hint="default" w:ascii="仿宋_GB2312" w:hAnsi="仿宋_GB2312" w:eastAsia="仿宋_GB2312" w:cs="仿宋_GB2312"/>
                <w:b/>
                <w:color w:val="auto"/>
                <w:lang w:bidi="ar"/>
              </w:rPr>
              <w:t>四川</w:t>
            </w:r>
            <w:r>
              <w:rPr>
                <w:rStyle w:val="14"/>
                <w:rFonts w:hint="default" w:ascii="仿宋_GB2312" w:hAnsi="仿宋_GB2312" w:eastAsia="仿宋_GB2312" w:cs="仿宋_GB2312"/>
                <w:b w:val="0"/>
                <w:bCs/>
                <w:color w:val="auto"/>
                <w:lang w:bidi="ar"/>
              </w:rPr>
              <w:t>等地，</w:t>
            </w:r>
            <w:r>
              <w:rPr>
                <w:rStyle w:val="14"/>
                <w:rFonts w:hint="default" w:ascii="仿宋_GB2312" w:hAnsi="仿宋_GB2312" w:eastAsia="仿宋_GB2312" w:cs="仿宋_GB2312"/>
                <w:bCs/>
                <w:color w:val="auto"/>
                <w:lang w:bidi="ar"/>
              </w:rPr>
              <w:t>实行</w:t>
            </w:r>
            <w:r>
              <w:rPr>
                <w:rStyle w:val="14"/>
                <w:rFonts w:hint="default" w:ascii="仿宋_GB2312" w:hAnsi="仿宋_GB2312" w:eastAsia="仿宋_GB2312" w:cs="仿宋_GB2312"/>
                <w:color w:val="auto"/>
                <w:lang w:bidi="ar"/>
              </w:rPr>
              <w:t>预制混凝土构件生产企业登记备案或星级评价机制，明确落实驻厂监造制度</w:t>
            </w:r>
            <w:r>
              <w:rPr>
                <w:rStyle w:val="14"/>
                <w:rFonts w:hint="eastAsia" w:ascii="仿宋_GB2312" w:hAnsi="仿宋_GB2312" w:eastAsia="仿宋_GB2312" w:cs="仿宋_GB2312"/>
                <w:color w:val="auto"/>
                <w:lang w:eastAsia="zh-CN" w:bidi="ar"/>
              </w:rPr>
              <w:t>；</w:t>
            </w:r>
            <w:r>
              <w:rPr>
                <w:rStyle w:val="13"/>
                <w:rFonts w:hint="default" w:ascii="仿宋_GB2312" w:hAnsi="仿宋_GB2312" w:eastAsia="仿宋_GB2312" w:cs="仿宋_GB2312"/>
                <w:bCs w:val="0"/>
                <w:color w:val="auto"/>
                <w:lang w:bidi="ar"/>
              </w:rPr>
              <w:t>海南</w:t>
            </w:r>
            <w:r>
              <w:rPr>
                <w:rStyle w:val="13"/>
                <w:rFonts w:hint="default" w:ascii="仿宋_GB2312" w:hAnsi="仿宋_GB2312" w:eastAsia="仿宋_GB2312" w:cs="仿宋_GB2312"/>
                <w:b w:val="0"/>
                <w:color w:val="auto"/>
                <w:lang w:bidi="ar"/>
              </w:rPr>
              <w:t>于2021年明确装配式预制构件生产、销售环节由市场监管</w:t>
            </w:r>
            <w:r>
              <w:rPr>
                <w:rStyle w:val="13"/>
                <w:rFonts w:hint="eastAsia" w:ascii="仿宋_GB2312" w:hAnsi="仿宋_GB2312" w:eastAsia="仿宋_GB2312" w:cs="仿宋_GB2312"/>
                <w:b w:val="0"/>
                <w:color w:val="auto"/>
                <w:lang w:eastAsia="zh-CN" w:bidi="ar"/>
              </w:rPr>
              <w:t>部门</w:t>
            </w:r>
            <w:r>
              <w:rPr>
                <w:rStyle w:val="13"/>
                <w:rFonts w:hint="default" w:ascii="仿宋_GB2312" w:hAnsi="仿宋_GB2312" w:eastAsia="仿宋_GB2312" w:cs="仿宋_GB2312"/>
                <w:b w:val="0"/>
                <w:color w:val="auto"/>
                <w:lang w:bidi="ar"/>
              </w:rPr>
              <w:t>进行监管，相关质量标准体系由住</w:t>
            </w:r>
            <w:r>
              <w:rPr>
                <w:rStyle w:val="13"/>
                <w:rFonts w:hint="eastAsia" w:ascii="仿宋_GB2312" w:hAnsi="仿宋_GB2312" w:eastAsia="仿宋_GB2312" w:cs="仿宋_GB2312"/>
                <w:b w:val="0"/>
                <w:color w:val="auto"/>
                <w:lang w:eastAsia="zh-CN" w:bidi="ar"/>
              </w:rPr>
              <w:t>房和城乡</w:t>
            </w:r>
            <w:r>
              <w:rPr>
                <w:rStyle w:val="13"/>
                <w:rFonts w:hint="default" w:ascii="仿宋_GB2312" w:hAnsi="仿宋_GB2312" w:eastAsia="仿宋_GB2312" w:cs="仿宋_GB2312"/>
                <w:b w:val="0"/>
                <w:color w:val="auto"/>
                <w:lang w:bidi="ar"/>
              </w:rPr>
              <w:t>建</w:t>
            </w:r>
            <w:r>
              <w:rPr>
                <w:rStyle w:val="13"/>
                <w:rFonts w:hint="eastAsia" w:ascii="仿宋_GB2312" w:hAnsi="仿宋_GB2312" w:eastAsia="仿宋_GB2312" w:cs="仿宋_GB2312"/>
                <w:b w:val="0"/>
                <w:color w:val="auto"/>
                <w:lang w:eastAsia="zh-CN" w:bidi="ar"/>
              </w:rPr>
              <w:t>设</w:t>
            </w:r>
            <w:r>
              <w:rPr>
                <w:rStyle w:val="13"/>
                <w:rFonts w:hint="default" w:ascii="仿宋_GB2312" w:hAnsi="仿宋_GB2312" w:eastAsia="仿宋_GB2312" w:cs="仿宋_GB2312"/>
                <w:b w:val="0"/>
                <w:color w:val="auto"/>
                <w:lang w:bidi="ar"/>
              </w:rPr>
              <w:t>、工</w:t>
            </w:r>
            <w:r>
              <w:rPr>
                <w:rStyle w:val="13"/>
                <w:rFonts w:hint="eastAsia" w:ascii="仿宋_GB2312" w:hAnsi="仿宋_GB2312" w:eastAsia="仿宋_GB2312" w:cs="仿宋_GB2312"/>
                <w:b w:val="0"/>
                <w:color w:val="auto"/>
                <w:lang w:eastAsia="zh-CN" w:bidi="ar"/>
              </w:rPr>
              <w:t>业和</w:t>
            </w:r>
            <w:r>
              <w:rPr>
                <w:rStyle w:val="13"/>
                <w:rFonts w:hint="default" w:ascii="仿宋_GB2312" w:hAnsi="仿宋_GB2312" w:eastAsia="仿宋_GB2312" w:cs="仿宋_GB2312"/>
                <w:b w:val="0"/>
                <w:color w:val="auto"/>
                <w:lang w:bidi="ar"/>
              </w:rPr>
              <w:t>信</w:t>
            </w:r>
            <w:r>
              <w:rPr>
                <w:rStyle w:val="13"/>
                <w:rFonts w:hint="eastAsia" w:ascii="仿宋_GB2312" w:hAnsi="仿宋_GB2312" w:eastAsia="仿宋_GB2312" w:cs="仿宋_GB2312"/>
                <w:b w:val="0"/>
                <w:color w:val="auto"/>
                <w:lang w:eastAsia="zh-CN" w:bidi="ar"/>
              </w:rPr>
              <w:t>息化</w:t>
            </w:r>
            <w:r>
              <w:rPr>
                <w:rStyle w:val="13"/>
                <w:rFonts w:hint="default" w:ascii="仿宋_GB2312" w:hAnsi="仿宋_GB2312" w:eastAsia="仿宋_GB2312" w:cs="仿宋_GB2312"/>
                <w:b w:val="0"/>
                <w:color w:val="auto"/>
                <w:lang w:bidi="ar"/>
              </w:rPr>
              <w:t>、市场</w:t>
            </w:r>
            <w:r>
              <w:rPr>
                <w:rStyle w:val="13"/>
                <w:rFonts w:hint="eastAsia" w:ascii="仿宋_GB2312" w:hAnsi="仿宋_GB2312" w:eastAsia="仿宋_GB2312" w:cs="仿宋_GB2312"/>
                <w:b w:val="0"/>
                <w:color w:val="auto"/>
                <w:lang w:eastAsia="zh-CN" w:bidi="ar"/>
              </w:rPr>
              <w:t>监管</w:t>
            </w:r>
            <w:r>
              <w:rPr>
                <w:rStyle w:val="13"/>
                <w:rFonts w:hint="default" w:ascii="仿宋_GB2312" w:hAnsi="仿宋_GB2312" w:eastAsia="仿宋_GB2312" w:cs="仿宋_GB2312"/>
                <w:b w:val="0"/>
                <w:color w:val="auto"/>
                <w:lang w:bidi="ar"/>
              </w:rPr>
              <w:t>等主管部门共同制定，项目建设过程中预制构件的现场安装及其工程质量由各市县建设工程质量监督机构进行监管</w:t>
            </w:r>
            <w:r>
              <w:rPr>
                <w:rStyle w:val="13"/>
                <w:rFonts w:hint="eastAsia" w:ascii="仿宋_GB2312" w:hAnsi="仿宋_GB2312" w:eastAsia="仿宋_GB2312" w:cs="仿宋_GB2312"/>
                <w:b w:val="0"/>
                <w:color w:val="auto"/>
                <w:lang w:eastAsia="zh-CN" w:bidi="ar"/>
              </w:rPr>
              <w:t>；</w:t>
            </w:r>
            <w:r>
              <w:rPr>
                <w:rStyle w:val="13"/>
                <w:rFonts w:hint="eastAsia" w:ascii="仿宋_GB2312" w:hAnsi="仿宋_GB2312" w:eastAsia="仿宋_GB2312" w:cs="仿宋_GB2312"/>
                <w:b/>
                <w:bCs w:val="0"/>
                <w:color w:val="auto"/>
                <w:lang w:eastAsia="zh-CN" w:bidi="ar"/>
              </w:rPr>
              <w:t>广东</w:t>
            </w:r>
            <w:r>
              <w:rPr>
                <w:rStyle w:val="13"/>
                <w:rFonts w:hint="default" w:ascii="仿宋_GB2312" w:hAnsi="仿宋_GB2312" w:eastAsia="仿宋_GB2312" w:cs="仿宋_GB2312"/>
                <w:bCs w:val="0"/>
                <w:color w:val="auto"/>
                <w:lang w:bidi="ar"/>
              </w:rPr>
              <w:t>深圳</w:t>
            </w:r>
            <w:r>
              <w:rPr>
                <w:rStyle w:val="14"/>
                <w:rFonts w:hint="default" w:ascii="仿宋_GB2312" w:hAnsi="仿宋_GB2312" w:eastAsia="仿宋_GB2312" w:cs="仿宋_GB2312"/>
                <w:color w:val="auto"/>
                <w:lang w:bidi="ar"/>
              </w:rPr>
              <w:t>将预制构件生产企业纳入建筑市场主体信用管理体系，并采取进厂抽检和飞行检查的方式进行监督检查。</w:t>
            </w:r>
          </w:p>
        </w:tc>
      </w:tr>
      <w:tr>
        <w:tblPrEx>
          <w:tblLayout w:type="fixed"/>
          <w:tblCellMar>
            <w:top w:w="0" w:type="dxa"/>
            <w:left w:w="108" w:type="dxa"/>
            <w:bottom w:w="0" w:type="dxa"/>
            <w:right w:w="108" w:type="dxa"/>
          </w:tblCellMar>
        </w:tblPrEx>
        <w:trPr>
          <w:trHeight w:val="936" w:hRule="atLeast"/>
        </w:trPr>
        <w:tc>
          <w:tcPr>
            <w:tcW w:w="81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黑体" w:hAnsi="黑体" w:eastAsia="黑体" w:cs="黑体"/>
                <w:color w:val="000000"/>
                <w:sz w:val="24"/>
              </w:rPr>
            </w:pPr>
          </w:p>
        </w:tc>
        <w:tc>
          <w:tcPr>
            <w:tcW w:w="1470" w:type="dxa"/>
            <w:vMerge w:val="continue"/>
            <w:tcBorders>
              <w:top w:val="single" w:color="auto" w:sz="4" w:space="0"/>
              <w:left w:val="single" w:color="000000" w:sz="8" w:space="0"/>
              <w:bottom w:val="single" w:color="auto" w:sz="4" w:space="0"/>
              <w:right w:val="single" w:color="000000" w:sz="8" w:space="0"/>
            </w:tcBorders>
            <w:shd w:val="clear" w:color="auto" w:fill="auto"/>
            <w:vAlign w:val="center"/>
          </w:tcPr>
          <w:p>
            <w:pPr>
              <w:jc w:val="center"/>
              <w:rPr>
                <w:rFonts w:hint="eastAsia" w:ascii="黑体" w:hAnsi="黑体" w:eastAsia="黑体" w:cs="黑体"/>
                <w:color w:val="000000"/>
                <w:sz w:val="24"/>
              </w:rPr>
            </w:pPr>
          </w:p>
        </w:tc>
        <w:tc>
          <w:tcPr>
            <w:tcW w:w="19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楷体_GB2312" w:hAnsi="楷体_GB2312" w:eastAsia="楷体_GB2312" w:cs="楷体_GB2312"/>
                <w:b w:val="0"/>
                <w:bCs w:val="0"/>
                <w:color w:val="000000"/>
                <w:sz w:val="24"/>
              </w:rPr>
            </w:pPr>
          </w:p>
        </w:tc>
        <w:tc>
          <w:tcPr>
            <w:tcW w:w="9174" w:type="dxa"/>
            <w:tcBorders>
              <w:top w:val="single" w:color="000000" w:sz="4" w:space="0"/>
              <w:left w:val="single" w:color="000000" w:sz="8" w:space="0"/>
              <w:bottom w:val="single" w:color="000000" w:sz="4" w:space="0"/>
              <w:right w:val="single" w:color="000000" w:sz="8" w:space="0"/>
            </w:tcBorders>
            <w:shd w:val="clear" w:color="auto" w:fill="auto"/>
            <w:vAlign w:val="center"/>
          </w:tcPr>
          <w:p>
            <w:pPr>
              <w:jc w:val="left"/>
              <w:rPr>
                <w:rFonts w:ascii="仿宋" w:hAnsi="仿宋" w:eastAsia="仿宋_GB2312" w:cs="仿宋"/>
                <w:color w:val="000000"/>
                <w:sz w:val="24"/>
              </w:rPr>
            </w:pPr>
            <w:r>
              <w:rPr>
                <w:rStyle w:val="13"/>
                <w:rFonts w:hint="default" w:ascii="仿宋_GB2312" w:hAnsi="仿宋_GB2312" w:eastAsia="仿宋_GB2312" w:cs="仿宋_GB2312"/>
                <w:lang w:bidi="ar"/>
              </w:rPr>
              <w:t>3.加强施工环节质量监管。</w:t>
            </w:r>
            <w:r>
              <w:rPr>
                <w:rStyle w:val="13"/>
                <w:rFonts w:hint="default" w:ascii="仿宋_GB2312" w:hAnsi="仿宋_GB2312" w:eastAsia="仿宋_GB2312" w:cs="仿宋_GB2312"/>
                <w:b w:val="0"/>
                <w:bCs w:val="0"/>
                <w:lang w:bidi="ar"/>
              </w:rPr>
              <w:t>重点</w:t>
            </w:r>
            <w:r>
              <w:rPr>
                <w:rStyle w:val="13"/>
                <w:rFonts w:hint="eastAsia" w:ascii="仿宋_GB2312" w:hAnsi="仿宋_GB2312" w:eastAsia="仿宋_GB2312" w:cs="仿宋_GB2312"/>
                <w:b w:val="0"/>
                <w:bCs w:val="0"/>
                <w:lang w:eastAsia="zh-CN" w:bidi="ar"/>
              </w:rPr>
              <w:t>加强</w:t>
            </w:r>
            <w:r>
              <w:rPr>
                <w:rStyle w:val="13"/>
                <w:rFonts w:hint="default" w:ascii="仿宋_GB2312" w:hAnsi="仿宋_GB2312" w:eastAsia="仿宋_GB2312" w:cs="仿宋_GB2312"/>
                <w:b w:val="0"/>
                <w:bCs w:val="0"/>
                <w:lang w:bidi="ar"/>
              </w:rPr>
              <w:t>对</w:t>
            </w:r>
            <w:r>
              <w:rPr>
                <w:rStyle w:val="14"/>
                <w:rFonts w:hint="default" w:ascii="仿宋_GB2312" w:hAnsi="仿宋_GB2312" w:eastAsia="仿宋_GB2312" w:cs="仿宋_GB2312"/>
                <w:lang w:bidi="ar"/>
              </w:rPr>
              <w:t>预制构件进场、节点连接密实度（特别是竖向受力构件与水平构件连接处）</w:t>
            </w:r>
            <w:r>
              <w:rPr>
                <w:rStyle w:val="13"/>
                <w:rFonts w:hint="default" w:ascii="仿宋_GB2312" w:hAnsi="仿宋_GB2312" w:eastAsia="仿宋_GB2312" w:cs="仿宋_GB2312"/>
                <w:b w:val="0"/>
                <w:color w:val="auto"/>
                <w:lang w:bidi="ar"/>
              </w:rPr>
              <w:t>、预制外墙拼接缝、预留孔洞处细部防水和外墙保温等质量监管。如</w:t>
            </w:r>
            <w:r>
              <w:rPr>
                <w:rStyle w:val="14"/>
                <w:rFonts w:hint="default" w:ascii="仿宋_GB2312" w:hAnsi="仿宋_GB2312" w:eastAsia="仿宋_GB2312" w:cs="仿宋_GB2312"/>
                <w:b/>
                <w:bCs/>
                <w:lang w:bidi="ar"/>
              </w:rPr>
              <w:t>北京</w:t>
            </w:r>
            <w:r>
              <w:rPr>
                <w:rStyle w:val="14"/>
                <w:rFonts w:hint="default" w:ascii="仿宋_GB2312" w:hAnsi="仿宋_GB2312" w:eastAsia="仿宋_GB2312" w:cs="仿宋_GB2312"/>
                <w:lang w:bidi="ar"/>
              </w:rPr>
              <w:t>制定《关于明确装配式混凝土结构建筑工程施工现场质量监督工作要点》，细化了施工现场关键部位的质量监管措施，要求对灌浆操作全过程进行影像留存</w:t>
            </w:r>
            <w:r>
              <w:rPr>
                <w:rStyle w:val="14"/>
                <w:rFonts w:hint="eastAsia" w:ascii="仿宋_GB2312" w:hAnsi="仿宋_GB2312" w:eastAsia="仿宋_GB2312" w:cs="仿宋_GB2312"/>
                <w:lang w:eastAsia="zh-CN" w:bidi="ar"/>
              </w:rPr>
              <w:t>；</w:t>
            </w:r>
            <w:r>
              <w:rPr>
                <w:rStyle w:val="14"/>
                <w:rFonts w:hint="eastAsia" w:ascii="仿宋_GB2312" w:hAnsi="仿宋_GB2312" w:eastAsia="仿宋_GB2312" w:cs="仿宋_GB2312"/>
                <w:b/>
                <w:bCs/>
                <w:lang w:eastAsia="zh-CN" w:bidi="ar"/>
              </w:rPr>
              <w:t>辽宁</w:t>
            </w:r>
            <w:r>
              <w:rPr>
                <w:rStyle w:val="14"/>
                <w:rFonts w:hint="default" w:ascii="仿宋_GB2312" w:hAnsi="仿宋_GB2312" w:eastAsia="仿宋_GB2312" w:cs="仿宋_GB2312"/>
                <w:b/>
                <w:bCs/>
                <w:lang w:bidi="ar"/>
              </w:rPr>
              <w:t>沈阳、</w:t>
            </w:r>
            <w:r>
              <w:rPr>
                <w:rStyle w:val="14"/>
                <w:rFonts w:hint="eastAsia" w:ascii="仿宋_GB2312" w:hAnsi="仿宋_GB2312" w:eastAsia="仿宋_GB2312" w:cs="仿宋_GB2312"/>
                <w:b/>
                <w:bCs/>
                <w:lang w:eastAsia="zh-CN" w:bidi="ar"/>
              </w:rPr>
              <w:t>山东</w:t>
            </w:r>
            <w:r>
              <w:rPr>
                <w:rStyle w:val="14"/>
                <w:rFonts w:hint="default" w:ascii="仿宋_GB2312" w:hAnsi="仿宋_GB2312" w:eastAsia="仿宋_GB2312" w:cs="仿宋_GB2312"/>
                <w:b/>
                <w:bCs/>
                <w:lang w:bidi="ar"/>
              </w:rPr>
              <w:t>济南</w:t>
            </w:r>
            <w:r>
              <w:rPr>
                <w:rStyle w:val="14"/>
                <w:rFonts w:hint="default" w:ascii="仿宋_GB2312" w:hAnsi="仿宋_GB2312" w:eastAsia="仿宋_GB2312" w:cs="仿宋_GB2312"/>
                <w:b w:val="0"/>
                <w:bCs w:val="0"/>
                <w:lang w:bidi="ar"/>
              </w:rPr>
              <w:t>等地</w:t>
            </w:r>
            <w:r>
              <w:rPr>
                <w:rStyle w:val="14"/>
                <w:rFonts w:hint="default" w:ascii="仿宋_GB2312" w:hAnsi="仿宋_GB2312" w:eastAsia="仿宋_GB2312" w:cs="仿宋_GB2312"/>
                <w:lang w:bidi="ar"/>
              </w:rPr>
              <w:t>严格套筒灌浆施工过程管理，</w:t>
            </w:r>
            <w:r>
              <w:rPr>
                <w:rStyle w:val="14"/>
                <w:rFonts w:hint="eastAsia" w:ascii="仿宋_GB2312" w:hAnsi="仿宋_GB2312" w:eastAsia="仿宋_GB2312" w:cs="仿宋_GB2312"/>
                <w:lang w:eastAsia="zh-CN" w:bidi="ar"/>
              </w:rPr>
              <w:t>要求</w:t>
            </w:r>
            <w:r>
              <w:rPr>
                <w:rStyle w:val="14"/>
                <w:rFonts w:hint="default" w:ascii="仿宋_GB2312" w:hAnsi="仿宋_GB2312" w:eastAsia="仿宋_GB2312" w:cs="仿宋_GB2312"/>
                <w:lang w:bidi="ar"/>
              </w:rPr>
              <w:t>灌浆操作全过程应</w:t>
            </w:r>
            <w:r>
              <w:rPr>
                <w:rStyle w:val="14"/>
                <w:rFonts w:hint="eastAsia" w:ascii="仿宋_GB2312" w:hAnsi="仿宋_GB2312" w:eastAsia="仿宋_GB2312" w:cs="仿宋_GB2312"/>
                <w:lang w:eastAsia="zh-CN" w:bidi="ar"/>
              </w:rPr>
              <w:t>设</w:t>
            </w:r>
            <w:r>
              <w:rPr>
                <w:rStyle w:val="14"/>
                <w:rFonts w:hint="default" w:ascii="仿宋_GB2312" w:hAnsi="仿宋_GB2312" w:eastAsia="仿宋_GB2312" w:cs="仿宋_GB2312"/>
                <w:lang w:bidi="ar"/>
              </w:rPr>
              <w:t>有专职检验人员旁站监督，并及时形成施工检查记录、照片、影像资料等，确保灌浆质量可追溯。</w:t>
            </w:r>
          </w:p>
        </w:tc>
      </w:tr>
      <w:tr>
        <w:tblPrEx>
          <w:tblLayout w:type="fixed"/>
        </w:tblPrEx>
        <w:trPr>
          <w:trHeight w:val="3266" w:hRule="atLeast"/>
        </w:trPr>
        <w:tc>
          <w:tcPr>
            <w:tcW w:w="81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黑体" w:hAnsi="黑体" w:eastAsia="黑体" w:cs="黑体"/>
                <w:color w:val="000000"/>
                <w:sz w:val="24"/>
              </w:rPr>
            </w:pPr>
          </w:p>
        </w:tc>
        <w:tc>
          <w:tcPr>
            <w:tcW w:w="1470" w:type="dxa"/>
            <w:vMerge w:val="continue"/>
            <w:tcBorders>
              <w:top w:val="single" w:color="auto" w:sz="4" w:space="0"/>
              <w:left w:val="single" w:color="000000" w:sz="8" w:space="0"/>
              <w:bottom w:val="single" w:color="auto" w:sz="4" w:space="0"/>
              <w:right w:val="single" w:color="000000" w:sz="8" w:space="0"/>
            </w:tcBorders>
            <w:shd w:val="clear" w:color="auto" w:fill="auto"/>
            <w:vAlign w:val="center"/>
          </w:tcPr>
          <w:p>
            <w:pPr>
              <w:jc w:val="center"/>
              <w:rPr>
                <w:rFonts w:hint="eastAsia" w:ascii="黑体" w:hAnsi="黑体" w:eastAsia="黑体" w:cs="黑体"/>
                <w:color w:val="000000"/>
                <w:sz w:val="24"/>
              </w:rPr>
            </w:pPr>
          </w:p>
        </w:tc>
        <w:tc>
          <w:tcPr>
            <w:tcW w:w="19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楷体_GB2312" w:hAnsi="楷体_GB2312" w:eastAsia="楷体_GB2312" w:cs="楷体_GB2312"/>
                <w:b w:val="0"/>
                <w:bCs w:val="0"/>
                <w:color w:val="000000"/>
                <w:sz w:val="24"/>
              </w:rPr>
            </w:pPr>
          </w:p>
        </w:tc>
        <w:tc>
          <w:tcPr>
            <w:tcW w:w="9174" w:type="dxa"/>
            <w:tcBorders>
              <w:top w:val="single" w:color="000000" w:sz="4" w:space="0"/>
              <w:left w:val="single" w:color="000000" w:sz="8" w:space="0"/>
              <w:bottom w:val="single" w:color="000000" w:sz="8" w:space="0"/>
              <w:right w:val="single" w:color="000000" w:sz="8" w:space="0"/>
            </w:tcBorders>
            <w:shd w:val="clear" w:color="auto" w:fill="auto"/>
            <w:vAlign w:val="center"/>
          </w:tcPr>
          <w:p>
            <w:pPr>
              <w:jc w:val="left"/>
              <w:rPr>
                <w:rFonts w:ascii="仿宋" w:hAnsi="仿宋" w:eastAsia="仿宋" w:cs="仿宋"/>
                <w:color w:val="000000"/>
                <w:sz w:val="24"/>
              </w:rPr>
            </w:pPr>
            <w:r>
              <w:rPr>
                <w:rStyle w:val="13"/>
                <w:rFonts w:hint="eastAsia" w:ascii="仿宋_GB2312" w:hAnsi="仿宋_GB2312" w:eastAsia="仿宋_GB2312" w:cs="仿宋_GB2312"/>
                <w:lang w:val="en-US" w:eastAsia="zh-CN" w:bidi="ar"/>
              </w:rPr>
              <w:t>4</w:t>
            </w:r>
            <w:r>
              <w:rPr>
                <w:rStyle w:val="13"/>
                <w:rFonts w:hint="default" w:ascii="仿宋_GB2312" w:hAnsi="仿宋_GB2312" w:eastAsia="仿宋_GB2312" w:cs="仿宋_GB2312"/>
                <w:lang w:bidi="ar"/>
              </w:rPr>
              <w:t>.加大竣工验收环节把控力度。</w:t>
            </w:r>
            <w:r>
              <w:rPr>
                <w:rStyle w:val="14"/>
                <w:rFonts w:hint="eastAsia" w:ascii="仿宋_GB2312" w:hAnsi="仿宋_GB2312" w:eastAsia="仿宋_GB2312" w:cs="仿宋_GB2312"/>
                <w:lang w:eastAsia="zh-CN" w:bidi="ar"/>
              </w:rPr>
              <w:t>将</w:t>
            </w:r>
            <w:r>
              <w:rPr>
                <w:rStyle w:val="14"/>
                <w:rFonts w:hint="default" w:ascii="仿宋_GB2312" w:hAnsi="仿宋_GB2312" w:eastAsia="仿宋_GB2312" w:cs="仿宋_GB2312"/>
                <w:lang w:bidi="ar"/>
              </w:rPr>
              <w:t>装配式建筑项目纳入专项验收，或在竣工验收阶段强化对装配式建筑实施情况专项核实。</w:t>
            </w:r>
            <w:r>
              <w:rPr>
                <w:rStyle w:val="14"/>
                <w:rFonts w:hint="eastAsia" w:ascii="仿宋_GB2312" w:hAnsi="仿宋_GB2312" w:eastAsia="仿宋_GB2312" w:cs="仿宋_GB2312"/>
                <w:lang w:eastAsia="zh-CN" w:bidi="ar"/>
              </w:rPr>
              <w:t>如</w:t>
            </w:r>
            <w:r>
              <w:rPr>
                <w:rStyle w:val="14"/>
                <w:rFonts w:hint="default" w:ascii="仿宋_GB2312" w:hAnsi="仿宋_GB2312" w:eastAsia="仿宋_GB2312" w:cs="仿宋_GB2312"/>
                <w:b/>
                <w:bCs/>
                <w:lang w:bidi="ar"/>
              </w:rPr>
              <w:t>四川</w:t>
            </w:r>
            <w:r>
              <w:rPr>
                <w:rStyle w:val="14"/>
                <w:rFonts w:hint="eastAsia" w:ascii="仿宋_GB2312" w:hAnsi="仿宋_GB2312" w:eastAsia="仿宋_GB2312" w:cs="仿宋_GB2312"/>
                <w:lang w:eastAsia="zh-CN" w:bidi="ar"/>
              </w:rPr>
              <w:t>制定</w:t>
            </w:r>
            <w:r>
              <w:rPr>
                <w:rStyle w:val="14"/>
                <w:rFonts w:hint="default" w:ascii="仿宋_GB2312" w:hAnsi="仿宋_GB2312" w:eastAsia="仿宋_GB2312" w:cs="仿宋_GB2312"/>
                <w:lang w:bidi="ar"/>
              </w:rPr>
              <w:t>《四川省装配式建筑质量验收细则》，明确装配式建筑质量管控要点</w:t>
            </w:r>
            <w:r>
              <w:rPr>
                <w:rStyle w:val="14"/>
                <w:rFonts w:hint="eastAsia" w:ascii="仿宋_GB2312" w:hAnsi="仿宋_GB2312" w:eastAsia="仿宋_GB2312" w:cs="仿宋_GB2312"/>
                <w:lang w:eastAsia="zh-CN" w:bidi="ar"/>
              </w:rPr>
              <w:t>、</w:t>
            </w:r>
            <w:r>
              <w:rPr>
                <w:rStyle w:val="14"/>
                <w:rFonts w:hint="default" w:ascii="仿宋_GB2312" w:hAnsi="仿宋_GB2312" w:eastAsia="仿宋_GB2312" w:cs="仿宋_GB2312"/>
                <w:lang w:bidi="ar"/>
              </w:rPr>
              <w:t>验收标准和要求，强化装配率验收</w:t>
            </w:r>
            <w:r>
              <w:rPr>
                <w:rStyle w:val="14"/>
                <w:rFonts w:hint="eastAsia" w:ascii="仿宋_GB2312" w:hAnsi="仿宋_GB2312" w:eastAsia="仿宋_GB2312" w:cs="仿宋_GB2312"/>
                <w:lang w:eastAsia="zh-CN" w:bidi="ar"/>
              </w:rPr>
              <w:t>；</w:t>
            </w:r>
            <w:r>
              <w:rPr>
                <w:rStyle w:val="14"/>
                <w:rFonts w:hint="eastAsia" w:ascii="仿宋_GB2312" w:hAnsi="仿宋_GB2312" w:eastAsia="仿宋_GB2312" w:cs="仿宋_GB2312"/>
                <w:b/>
                <w:bCs/>
                <w:lang w:eastAsia="zh-CN" w:bidi="ar"/>
              </w:rPr>
              <w:t>广东</w:t>
            </w:r>
            <w:r>
              <w:rPr>
                <w:rStyle w:val="14"/>
                <w:rFonts w:hint="default" w:ascii="仿宋_GB2312" w:hAnsi="仿宋_GB2312" w:eastAsia="仿宋_GB2312" w:cs="仿宋_GB2312"/>
                <w:b/>
                <w:bCs/>
                <w:lang w:bidi="ar"/>
              </w:rPr>
              <w:t>深圳</w:t>
            </w:r>
            <w:r>
              <w:rPr>
                <w:rStyle w:val="14"/>
                <w:rFonts w:hint="default" w:ascii="仿宋_GB2312" w:hAnsi="仿宋_GB2312" w:eastAsia="仿宋_GB2312" w:cs="仿宋_GB2312"/>
                <w:lang w:bidi="ar"/>
              </w:rPr>
              <w:t>将装配式建筑纳入到绿色建筑和建筑节能专项验收，建设单位在竣工报告中应对装配式建筑进行专篇说明，验收不通过不予竣工备案</w:t>
            </w:r>
            <w:r>
              <w:rPr>
                <w:rStyle w:val="14"/>
                <w:rFonts w:hint="eastAsia" w:ascii="仿宋_GB2312" w:hAnsi="仿宋_GB2312" w:eastAsia="仿宋_GB2312" w:cs="仿宋_GB2312"/>
                <w:lang w:eastAsia="zh-CN" w:bidi="ar"/>
              </w:rPr>
              <w:t>；</w:t>
            </w:r>
            <w:r>
              <w:rPr>
                <w:rStyle w:val="14"/>
                <w:rFonts w:hint="eastAsia" w:ascii="仿宋_GB2312" w:hAnsi="仿宋_GB2312" w:eastAsia="仿宋_GB2312" w:cs="仿宋_GB2312"/>
                <w:b/>
                <w:bCs/>
                <w:lang w:eastAsia="zh-CN" w:bidi="ar"/>
              </w:rPr>
              <w:t>浙江</w:t>
            </w:r>
            <w:r>
              <w:rPr>
                <w:rFonts w:hint="eastAsia" w:ascii="Times New Roman" w:hAnsi="Times New Roman" w:eastAsia="仿宋_GB2312" w:cs="Times New Roman"/>
                <w:b/>
                <w:bCs/>
                <w:sz w:val="24"/>
              </w:rPr>
              <w:t>衢州</w:t>
            </w:r>
            <w:r>
              <w:rPr>
                <w:rFonts w:hint="eastAsia" w:ascii="Times New Roman" w:hAnsi="Times New Roman" w:eastAsia="仿宋_GB2312" w:cs="Times New Roman"/>
                <w:sz w:val="24"/>
              </w:rPr>
              <w:t>对51个（共计约280万平方米）装配式住宅项目实施装配式建筑项目“信息化+事前承诺</w:t>
            </w:r>
            <w:bookmarkStart w:id="0" w:name="_GoBack"/>
            <w:bookmarkEnd w:id="0"/>
            <w:r>
              <w:rPr>
                <w:rFonts w:hint="eastAsia" w:ascii="Times New Roman" w:hAnsi="Times New Roman" w:eastAsia="仿宋_GB2312" w:cs="Times New Roman"/>
                <w:sz w:val="24"/>
              </w:rPr>
              <w:t>+事中核实+事后验收”的改革措施，“事前承诺”指减少项目审批环节、推进项目尽早实施，“事中核实”有效防范装配式项目方案不具体落实，“事后验收”设置装配式建筑专项验收，将装配式专项核实情况列入工程验收资料，“信息化监管”取消了</w:t>
            </w:r>
            <w:r>
              <w:rPr>
                <w:rFonts w:ascii="Times New Roman" w:hAnsi="Times New Roman" w:eastAsia="仿宋_GB2312" w:cs="Times New Roman"/>
                <w:sz w:val="24"/>
              </w:rPr>
              <w:t>专家核算论证等</w:t>
            </w:r>
            <w:r>
              <w:rPr>
                <w:rFonts w:hint="eastAsia" w:ascii="Times New Roman" w:hAnsi="Times New Roman" w:eastAsia="仿宋_GB2312" w:cs="Times New Roman"/>
                <w:sz w:val="24"/>
              </w:rPr>
              <w:t>环节，以上措施取得了减环节、减时间、强落实的“两减一实”成效。</w:t>
            </w:r>
          </w:p>
        </w:tc>
      </w:tr>
      <w:tr>
        <w:tblPrEx>
          <w:tblLayout w:type="fixed"/>
          <w:tblCellMar>
            <w:top w:w="0" w:type="dxa"/>
            <w:left w:w="108" w:type="dxa"/>
            <w:bottom w:w="0" w:type="dxa"/>
            <w:right w:w="108" w:type="dxa"/>
          </w:tblCellMar>
        </w:tblPrEx>
        <w:trPr>
          <w:trHeight w:val="1263" w:hRule="atLeast"/>
        </w:trPr>
        <w:tc>
          <w:tcPr>
            <w:tcW w:w="81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黑体" w:hAnsi="黑体" w:eastAsia="黑体" w:cs="黑体"/>
                <w:color w:val="000000"/>
                <w:sz w:val="24"/>
              </w:rPr>
            </w:pPr>
          </w:p>
        </w:tc>
        <w:tc>
          <w:tcPr>
            <w:tcW w:w="1470" w:type="dxa"/>
            <w:vMerge w:val="continue"/>
            <w:tcBorders>
              <w:top w:val="single" w:color="auto" w:sz="4" w:space="0"/>
              <w:left w:val="single" w:color="000000" w:sz="8" w:space="0"/>
              <w:bottom w:val="single" w:color="auto" w:sz="4" w:space="0"/>
              <w:right w:val="single" w:color="000000" w:sz="8" w:space="0"/>
            </w:tcBorders>
            <w:shd w:val="clear" w:color="auto" w:fill="auto"/>
            <w:vAlign w:val="center"/>
          </w:tcPr>
          <w:p>
            <w:pPr>
              <w:jc w:val="center"/>
              <w:rPr>
                <w:rFonts w:hint="eastAsia" w:ascii="黑体" w:hAnsi="黑体" w:eastAsia="黑体" w:cs="黑体"/>
                <w:color w:val="000000"/>
                <w:sz w:val="24"/>
              </w:rPr>
            </w:pPr>
          </w:p>
        </w:tc>
        <w:tc>
          <w:tcPr>
            <w:tcW w:w="1985"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楷体_GB2312" w:hAnsi="楷体_GB2312" w:eastAsia="楷体_GB2312" w:cs="楷体_GB2312"/>
                <w:b w:val="0"/>
                <w:bCs w:val="0"/>
                <w:color w:val="000000"/>
                <w:sz w:val="24"/>
              </w:rPr>
            </w:pPr>
            <w:r>
              <w:rPr>
                <w:rFonts w:hint="eastAsia" w:ascii="楷体_GB2312" w:hAnsi="楷体_GB2312" w:eastAsia="楷体_GB2312" w:cs="楷体_GB2312"/>
                <w:b w:val="0"/>
                <w:bCs w:val="0"/>
                <w:color w:val="000000"/>
                <w:kern w:val="0"/>
                <w:sz w:val="24"/>
                <w:lang w:bidi="ar"/>
              </w:rPr>
              <w:t>（二）加大监督考核</w:t>
            </w:r>
          </w:p>
        </w:tc>
        <w:tc>
          <w:tcPr>
            <w:tcW w:w="9174" w:type="dxa"/>
            <w:tcBorders>
              <w:top w:val="single" w:color="000000" w:sz="4" w:space="0"/>
              <w:left w:val="single" w:color="000000" w:sz="8" w:space="0"/>
              <w:bottom w:val="single" w:color="000000" w:sz="8" w:space="0"/>
              <w:right w:val="single" w:color="000000" w:sz="8" w:space="0"/>
            </w:tcBorders>
            <w:shd w:val="clear" w:color="auto" w:fill="auto"/>
            <w:vAlign w:val="center"/>
          </w:tcPr>
          <w:p>
            <w:pPr>
              <w:jc w:val="left"/>
              <w:rPr>
                <w:rFonts w:ascii="仿宋" w:hAnsi="仿宋" w:eastAsia="仿宋_GB2312" w:cs="仿宋"/>
                <w:color w:val="000000"/>
                <w:sz w:val="24"/>
              </w:rPr>
            </w:pPr>
            <w:r>
              <w:rPr>
                <w:rStyle w:val="13"/>
                <w:rFonts w:hint="default" w:ascii="仿宋_GB2312" w:hAnsi="仿宋_GB2312" w:eastAsia="仿宋_GB2312" w:cs="仿宋_GB2312"/>
                <w:color w:val="auto"/>
                <w:lang w:bidi="ar"/>
              </w:rPr>
              <w:t>1.建立分级监督考核机制。</w:t>
            </w:r>
            <w:r>
              <w:rPr>
                <w:rStyle w:val="13"/>
                <w:rFonts w:hint="eastAsia" w:ascii="仿宋_GB2312" w:hAnsi="仿宋_GB2312" w:eastAsia="仿宋_GB2312" w:cs="仿宋_GB2312"/>
                <w:b w:val="0"/>
                <w:bCs w:val="0"/>
                <w:color w:val="auto"/>
                <w:lang w:eastAsia="zh-CN" w:bidi="ar"/>
              </w:rPr>
              <w:t>通过下达指标、加强过程监督和年终考核，强化责任落实</w:t>
            </w:r>
            <w:r>
              <w:rPr>
                <w:rStyle w:val="13"/>
                <w:rFonts w:hint="eastAsia" w:ascii="仿宋_GB2312" w:hAnsi="仿宋_GB2312" w:eastAsia="仿宋_GB2312" w:cs="仿宋_GB2312"/>
                <w:color w:val="auto"/>
                <w:lang w:eastAsia="zh-CN" w:bidi="ar"/>
              </w:rPr>
              <w:t>。</w:t>
            </w:r>
            <w:r>
              <w:rPr>
                <w:rStyle w:val="13"/>
                <w:rFonts w:hint="eastAsia" w:ascii="仿宋_GB2312" w:hAnsi="仿宋_GB2312" w:eastAsia="仿宋_GB2312" w:cs="仿宋_GB2312"/>
                <w:b w:val="0"/>
                <w:bCs w:val="0"/>
                <w:color w:val="auto"/>
                <w:lang w:eastAsia="zh-CN" w:bidi="ar"/>
              </w:rPr>
              <w:t>如</w:t>
            </w:r>
            <w:r>
              <w:rPr>
                <w:rStyle w:val="13"/>
                <w:rFonts w:hint="default" w:ascii="仿宋_GB2312" w:hAnsi="仿宋_GB2312" w:eastAsia="仿宋_GB2312" w:cs="仿宋_GB2312"/>
                <w:color w:val="auto"/>
                <w:lang w:bidi="ar"/>
              </w:rPr>
              <w:t>浙江、江西、山东、海南</w:t>
            </w:r>
            <w:r>
              <w:rPr>
                <w:rStyle w:val="13"/>
                <w:rFonts w:hint="eastAsia" w:ascii="仿宋_GB2312" w:hAnsi="仿宋_GB2312" w:eastAsia="仿宋_GB2312" w:cs="仿宋_GB2312"/>
                <w:color w:val="auto"/>
                <w:lang w:eastAsia="zh-CN" w:bidi="ar"/>
              </w:rPr>
              <w:t>、</w:t>
            </w:r>
            <w:r>
              <w:rPr>
                <w:rStyle w:val="13"/>
                <w:rFonts w:hint="default" w:ascii="仿宋_GB2312" w:hAnsi="仿宋_GB2312" w:eastAsia="仿宋_GB2312" w:cs="仿宋_GB2312"/>
                <w:color w:val="auto"/>
                <w:lang w:bidi="ar"/>
              </w:rPr>
              <w:t>陕西、宁夏</w:t>
            </w:r>
            <w:r>
              <w:rPr>
                <w:rStyle w:val="13"/>
                <w:rFonts w:hint="default" w:ascii="仿宋_GB2312" w:hAnsi="仿宋_GB2312" w:eastAsia="仿宋_GB2312" w:cs="仿宋_GB2312"/>
                <w:b w:val="0"/>
                <w:bCs w:val="0"/>
                <w:color w:val="auto"/>
                <w:lang w:bidi="ar"/>
              </w:rPr>
              <w:t>等地，</w:t>
            </w:r>
            <w:r>
              <w:rPr>
                <w:rStyle w:val="14"/>
                <w:rFonts w:hint="default" w:ascii="仿宋_GB2312" w:hAnsi="仿宋_GB2312" w:eastAsia="仿宋_GB2312" w:cs="仿宋_GB2312"/>
                <w:color w:val="auto"/>
                <w:lang w:bidi="ar"/>
              </w:rPr>
              <w:t>建立健全省级抓总、市级统筹、县级负责的装配式建筑监督考核机制</w:t>
            </w:r>
            <w:r>
              <w:rPr>
                <w:rStyle w:val="14"/>
                <w:rFonts w:hint="eastAsia" w:ascii="仿宋_GB2312" w:hAnsi="仿宋_GB2312" w:eastAsia="仿宋_GB2312" w:cs="仿宋_GB2312"/>
                <w:color w:val="auto"/>
                <w:lang w:eastAsia="zh-CN" w:bidi="ar"/>
              </w:rPr>
              <w:t>，</w:t>
            </w:r>
            <w:r>
              <w:rPr>
                <w:rStyle w:val="14"/>
                <w:rFonts w:hint="default" w:ascii="仿宋_GB2312" w:hAnsi="仿宋_GB2312" w:eastAsia="仿宋_GB2312" w:cs="仿宋_GB2312"/>
                <w:color w:val="auto"/>
                <w:lang w:bidi="ar"/>
              </w:rPr>
              <w:t>每年向设区市下达装配式建筑指标任务，定期考核工作进度，通报考核结果，通过专项督查、督导约谈等方式，压紧压实各方主体责任，确保推动装配式建筑发展。</w:t>
            </w:r>
          </w:p>
        </w:tc>
      </w:tr>
      <w:tr>
        <w:tblPrEx>
          <w:tblLayout w:type="fixed"/>
          <w:tblCellMar>
            <w:top w:w="0" w:type="dxa"/>
            <w:left w:w="108" w:type="dxa"/>
            <w:bottom w:w="0" w:type="dxa"/>
            <w:right w:w="108" w:type="dxa"/>
          </w:tblCellMar>
        </w:tblPrEx>
        <w:trPr>
          <w:trHeight w:val="1572" w:hRule="atLeast"/>
        </w:trPr>
        <w:tc>
          <w:tcPr>
            <w:tcW w:w="81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黑体" w:hAnsi="黑体" w:eastAsia="黑体" w:cs="黑体"/>
                <w:b w:val="0"/>
                <w:bCs w:val="0"/>
                <w:color w:val="000000"/>
                <w:sz w:val="24"/>
              </w:rPr>
            </w:pPr>
            <w:r>
              <w:rPr>
                <w:rFonts w:hint="eastAsia" w:ascii="黑体" w:hAnsi="黑体" w:eastAsia="黑体" w:cs="黑体"/>
                <w:b w:val="0"/>
                <w:bCs w:val="0"/>
                <w:color w:val="000000"/>
                <w:kern w:val="0"/>
                <w:sz w:val="24"/>
                <w:lang w:bidi="ar"/>
              </w:rPr>
              <w:t>六</w:t>
            </w:r>
          </w:p>
        </w:tc>
        <w:tc>
          <w:tcPr>
            <w:tcW w:w="1470" w:type="dxa"/>
            <w:vMerge w:val="restart"/>
            <w:tcBorders>
              <w:top w:val="single" w:color="auto" w:sz="4" w:space="0"/>
              <w:left w:val="single" w:color="000000" w:sz="8" w:space="0"/>
              <w:bottom w:val="single" w:color="auto" w:sz="4" w:space="0"/>
              <w:right w:val="single" w:color="000000" w:sz="8" w:space="0"/>
            </w:tcBorders>
            <w:shd w:val="clear" w:color="auto" w:fill="auto"/>
            <w:vAlign w:val="center"/>
          </w:tcPr>
          <w:p>
            <w:pPr>
              <w:widowControl/>
              <w:jc w:val="center"/>
              <w:textAlignment w:val="center"/>
              <w:rPr>
                <w:rFonts w:hint="eastAsia" w:ascii="黑体" w:hAnsi="黑体" w:eastAsia="黑体" w:cs="黑体"/>
                <w:b w:val="0"/>
                <w:bCs w:val="0"/>
                <w:color w:val="000000"/>
                <w:sz w:val="24"/>
              </w:rPr>
            </w:pPr>
            <w:r>
              <w:rPr>
                <w:rFonts w:hint="eastAsia" w:ascii="黑体" w:hAnsi="黑体" w:eastAsia="黑体" w:cs="黑体"/>
                <w:b w:val="0"/>
                <w:bCs w:val="0"/>
                <w:color w:val="000000"/>
                <w:kern w:val="0"/>
                <w:sz w:val="24"/>
                <w:lang w:bidi="ar"/>
              </w:rPr>
              <w:t>创新发展</w:t>
            </w:r>
          </w:p>
        </w:tc>
        <w:tc>
          <w:tcPr>
            <w:tcW w:w="1985"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楷体_GB2312" w:hAnsi="楷体_GB2312" w:eastAsia="楷体_GB2312" w:cs="楷体_GB2312"/>
                <w:b w:val="0"/>
                <w:bCs w:val="0"/>
                <w:color w:val="000000"/>
                <w:sz w:val="24"/>
              </w:rPr>
            </w:pPr>
            <w:r>
              <w:rPr>
                <w:rFonts w:hint="eastAsia" w:ascii="楷体_GB2312" w:hAnsi="楷体_GB2312" w:eastAsia="楷体_GB2312" w:cs="楷体_GB2312"/>
                <w:b w:val="0"/>
                <w:bCs w:val="0"/>
                <w:color w:val="000000"/>
                <w:sz w:val="24"/>
              </w:rPr>
              <w:t>（一）推动组织管理模式创新</w:t>
            </w:r>
          </w:p>
        </w:tc>
        <w:tc>
          <w:tcPr>
            <w:tcW w:w="9174" w:type="dxa"/>
            <w:tcBorders>
              <w:top w:val="single" w:color="000000" w:sz="4" w:space="0"/>
              <w:left w:val="single" w:color="000000" w:sz="8" w:space="0"/>
              <w:bottom w:val="single" w:color="000000" w:sz="8" w:space="0"/>
              <w:right w:val="single" w:color="000000" w:sz="8" w:space="0"/>
            </w:tcBorders>
            <w:shd w:val="clear" w:color="auto" w:fill="auto"/>
            <w:vAlign w:val="center"/>
          </w:tcPr>
          <w:p>
            <w:pPr>
              <w:rPr>
                <w:rFonts w:ascii="仿宋" w:hAnsi="仿宋" w:eastAsia="仿宋" w:cs="仿宋"/>
                <w:color w:val="000000"/>
                <w:sz w:val="24"/>
              </w:rPr>
            </w:pPr>
            <w:r>
              <w:rPr>
                <w:rFonts w:hint="eastAsia" w:ascii="仿宋_GB2312" w:hAnsi="仿宋_GB2312" w:eastAsia="仿宋_GB2312" w:cs="仿宋_GB2312"/>
                <w:b/>
                <w:bCs/>
                <w:color w:val="000000"/>
                <w:sz w:val="24"/>
              </w:rPr>
              <w:t>1.优化组织管理模式。</w:t>
            </w:r>
            <w:r>
              <w:rPr>
                <w:rFonts w:hint="eastAsia" w:ascii="仿宋_GB2312" w:hAnsi="仿宋_GB2312" w:eastAsia="仿宋_GB2312" w:cs="仿宋_GB2312"/>
                <w:color w:val="000000"/>
                <w:sz w:val="24"/>
              </w:rPr>
              <w:t>在传统模式难以适应装配式建筑设计施工一体化特点的情况下，探索推进工程总承包（EPC）、全过程</w:t>
            </w:r>
            <w:r>
              <w:rPr>
                <w:rFonts w:hint="eastAsia" w:ascii="仿宋_GB2312" w:hAnsi="仿宋_GB2312" w:eastAsia="仿宋_GB2312" w:cs="仿宋_GB2312"/>
                <w:color w:val="000000"/>
                <w:sz w:val="24"/>
                <w:lang w:eastAsia="zh-CN"/>
              </w:rPr>
              <w:t>工程</w:t>
            </w:r>
            <w:r>
              <w:rPr>
                <w:rFonts w:hint="eastAsia" w:ascii="仿宋_GB2312" w:hAnsi="仿宋_GB2312" w:eastAsia="仿宋_GB2312" w:cs="仿宋_GB2312"/>
                <w:color w:val="000000"/>
                <w:sz w:val="24"/>
              </w:rPr>
              <w:t>咨询、建筑师负责制等建设组织模式，解决碎片式、割裂式的管理问题。如</w:t>
            </w:r>
            <w:r>
              <w:rPr>
                <w:rFonts w:hint="eastAsia" w:ascii="仿宋_GB2312" w:hAnsi="仿宋_GB2312" w:eastAsia="仿宋_GB2312" w:cs="仿宋_GB2312"/>
                <w:b/>
                <w:bCs/>
                <w:color w:val="000000"/>
                <w:sz w:val="24"/>
                <w:lang w:eastAsia="zh-CN"/>
              </w:rPr>
              <w:t>广东</w:t>
            </w:r>
            <w:r>
              <w:rPr>
                <w:rFonts w:hint="eastAsia" w:ascii="仿宋_GB2312" w:hAnsi="仿宋_GB2312" w:eastAsia="仿宋_GB2312" w:cs="仿宋_GB2312"/>
                <w:b/>
                <w:bCs/>
                <w:color w:val="000000"/>
                <w:sz w:val="24"/>
              </w:rPr>
              <w:t>深圳</w:t>
            </w:r>
            <w:r>
              <w:rPr>
                <w:rFonts w:hint="eastAsia" w:ascii="仿宋_GB2312" w:hAnsi="仿宋_GB2312" w:eastAsia="仿宋_GB2312" w:cs="仿宋_GB2312"/>
                <w:b w:val="0"/>
                <w:bCs w:val="0"/>
                <w:color w:val="000000"/>
                <w:sz w:val="24"/>
              </w:rPr>
              <w:t>长圳公共住房项目</w:t>
            </w:r>
            <w:r>
              <w:rPr>
                <w:rFonts w:hint="eastAsia" w:ascii="仿宋_GB2312" w:hAnsi="仿宋_GB2312" w:eastAsia="仿宋_GB2312" w:cs="仿宋_GB2312"/>
                <w:color w:val="000000"/>
                <w:sz w:val="24"/>
              </w:rPr>
              <w:t>率先采用“建筑师负责制+工程总承包+全过程工程咨询”模式，实现了建设项目高效率、高质量推进。</w:t>
            </w:r>
          </w:p>
        </w:tc>
      </w:tr>
      <w:tr>
        <w:tblPrEx>
          <w:tblLayout w:type="fixed"/>
          <w:tblCellMar>
            <w:top w:w="0" w:type="dxa"/>
            <w:left w:w="108" w:type="dxa"/>
            <w:bottom w:w="0" w:type="dxa"/>
            <w:right w:w="108" w:type="dxa"/>
          </w:tblCellMar>
        </w:tblPrEx>
        <w:trPr>
          <w:trHeight w:val="1409" w:hRule="atLeast"/>
        </w:trPr>
        <w:tc>
          <w:tcPr>
            <w:tcW w:w="81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b/>
                <w:bCs/>
                <w:color w:val="000000"/>
                <w:sz w:val="24"/>
              </w:rPr>
            </w:pPr>
          </w:p>
        </w:tc>
        <w:tc>
          <w:tcPr>
            <w:tcW w:w="1470" w:type="dxa"/>
            <w:vMerge w:val="continue"/>
            <w:tcBorders>
              <w:top w:val="single" w:color="auto" w:sz="4" w:space="0"/>
              <w:left w:val="single" w:color="000000" w:sz="8" w:space="0"/>
              <w:bottom w:val="single" w:color="auto" w:sz="4" w:space="0"/>
              <w:right w:val="single" w:color="000000" w:sz="8" w:space="0"/>
            </w:tcBorders>
            <w:shd w:val="clear" w:color="auto" w:fill="auto"/>
            <w:vAlign w:val="center"/>
          </w:tcPr>
          <w:p>
            <w:pPr>
              <w:widowControl/>
              <w:jc w:val="center"/>
              <w:textAlignment w:val="center"/>
              <w:rPr>
                <w:rFonts w:ascii="宋体" w:hAnsi="宋体" w:eastAsia="宋体" w:cs="宋体"/>
                <w:b/>
                <w:bCs/>
                <w:color w:val="000000"/>
                <w:sz w:val="24"/>
              </w:rPr>
            </w:pPr>
          </w:p>
        </w:tc>
        <w:tc>
          <w:tcPr>
            <w:tcW w:w="198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楷体_GB2312" w:hAnsi="楷体_GB2312" w:eastAsia="楷体_GB2312" w:cs="楷体_GB2312"/>
                <w:b w:val="0"/>
                <w:bCs w:val="0"/>
                <w:color w:val="000000"/>
                <w:sz w:val="24"/>
              </w:rPr>
            </w:pPr>
            <w:r>
              <w:rPr>
                <w:rFonts w:hint="eastAsia" w:ascii="楷体_GB2312" w:hAnsi="楷体_GB2312" w:eastAsia="楷体_GB2312" w:cs="楷体_GB2312"/>
                <w:b w:val="0"/>
                <w:bCs w:val="0"/>
                <w:color w:val="000000"/>
                <w:kern w:val="0"/>
                <w:sz w:val="24"/>
                <w:lang w:bidi="ar"/>
              </w:rPr>
              <w:t>（二）提升数字化水平</w:t>
            </w:r>
          </w:p>
        </w:tc>
        <w:tc>
          <w:tcPr>
            <w:tcW w:w="9174" w:type="dxa"/>
            <w:tcBorders>
              <w:top w:val="single" w:color="000000" w:sz="8" w:space="0"/>
              <w:left w:val="single" w:color="000000" w:sz="8" w:space="0"/>
              <w:bottom w:val="single" w:color="000000" w:sz="4" w:space="0"/>
              <w:right w:val="single" w:color="000000" w:sz="8" w:space="0"/>
            </w:tcBorders>
            <w:shd w:val="clear" w:color="auto" w:fill="auto"/>
            <w:vAlign w:val="center"/>
          </w:tcPr>
          <w:p>
            <w:pPr>
              <w:widowControl/>
              <w:textAlignment w:val="center"/>
              <w:rPr>
                <w:rFonts w:ascii="仿宋" w:hAnsi="仿宋" w:eastAsia="仿宋" w:cs="仿宋"/>
                <w:color w:val="000000"/>
                <w:sz w:val="24"/>
              </w:rPr>
            </w:pPr>
            <w:r>
              <w:rPr>
                <w:rStyle w:val="13"/>
                <w:rFonts w:hint="default" w:ascii="仿宋_GB2312" w:hAnsi="仿宋_GB2312" w:eastAsia="仿宋_GB2312" w:cs="仿宋_GB2312"/>
                <w:lang w:bidi="ar"/>
              </w:rPr>
              <w:t>1.推进数字设计发展。</w:t>
            </w:r>
            <w:r>
              <w:rPr>
                <w:rStyle w:val="14"/>
                <w:rFonts w:hint="default" w:ascii="仿宋_GB2312" w:hAnsi="仿宋_GB2312" w:eastAsia="仿宋_GB2312" w:cs="仿宋_GB2312"/>
                <w:lang w:bidi="ar"/>
              </w:rPr>
              <w:t>建立基于BIM的标准化部品部件库，推进BIM技术在建筑全寿命期的一体化集成应用，推行“少规格、多组合”的标准化设计方法。如</w:t>
            </w:r>
            <w:r>
              <w:rPr>
                <w:rStyle w:val="14"/>
                <w:rFonts w:hint="default" w:ascii="仿宋_GB2312" w:hAnsi="仿宋_GB2312" w:eastAsia="仿宋_GB2312" w:cs="仿宋_GB2312"/>
                <w:b/>
                <w:bCs/>
                <w:lang w:bidi="ar"/>
              </w:rPr>
              <w:t>湖南</w:t>
            </w:r>
            <w:r>
              <w:rPr>
                <w:rStyle w:val="14"/>
                <w:rFonts w:hint="default" w:ascii="仿宋_GB2312" w:hAnsi="仿宋_GB2312" w:eastAsia="仿宋_GB2312" w:cs="仿宋_GB2312"/>
                <w:lang w:bidi="ar"/>
              </w:rPr>
              <w:t>推行</w:t>
            </w:r>
            <w:r>
              <w:rPr>
                <w:rFonts w:hint="eastAsia" w:ascii="仿宋_GB2312" w:hAnsi="仿宋_GB2312" w:eastAsia="仿宋_GB2312" w:cs="仿宋_GB2312"/>
                <w:color w:val="000000"/>
                <w:kern w:val="0"/>
                <w:sz w:val="24"/>
                <w:lang w:bidi="ar"/>
              </w:rPr>
              <w:t>BIM正向设计，加强了各专业间的协同，提高了设计效率，减少了设计冲突，节约设计工期近15%。</w:t>
            </w:r>
          </w:p>
        </w:tc>
      </w:tr>
      <w:tr>
        <w:tblPrEx>
          <w:tblLayout w:type="fixed"/>
          <w:tblCellMar>
            <w:top w:w="0" w:type="dxa"/>
            <w:left w:w="108" w:type="dxa"/>
            <w:bottom w:w="0" w:type="dxa"/>
            <w:right w:w="108" w:type="dxa"/>
          </w:tblCellMar>
        </w:tblPrEx>
        <w:trPr>
          <w:trHeight w:val="2246" w:hRule="atLeast"/>
        </w:trPr>
        <w:tc>
          <w:tcPr>
            <w:tcW w:w="81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eastAsia="宋体" w:cs="宋体"/>
                <w:b/>
                <w:bCs/>
                <w:color w:val="000000"/>
                <w:sz w:val="24"/>
              </w:rPr>
            </w:pPr>
          </w:p>
        </w:tc>
        <w:tc>
          <w:tcPr>
            <w:tcW w:w="1470" w:type="dxa"/>
            <w:vMerge w:val="continue"/>
            <w:tcBorders>
              <w:top w:val="single" w:color="auto" w:sz="4" w:space="0"/>
              <w:left w:val="single" w:color="000000" w:sz="8" w:space="0"/>
              <w:bottom w:val="single" w:color="auto" w:sz="4" w:space="0"/>
              <w:right w:val="single" w:color="000000" w:sz="8" w:space="0"/>
            </w:tcBorders>
            <w:shd w:val="clear" w:color="auto" w:fill="auto"/>
            <w:vAlign w:val="center"/>
          </w:tcPr>
          <w:p>
            <w:pPr>
              <w:jc w:val="center"/>
              <w:rPr>
                <w:rFonts w:ascii="宋体" w:hAnsi="宋体" w:eastAsia="宋体" w:cs="宋体"/>
                <w:b/>
                <w:bCs/>
                <w:color w:val="000000"/>
                <w:sz w:val="24"/>
              </w:rPr>
            </w:pPr>
          </w:p>
        </w:tc>
        <w:tc>
          <w:tcPr>
            <w:tcW w:w="19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楷体_GB2312" w:hAnsi="楷体_GB2312" w:eastAsia="楷体_GB2312" w:cs="楷体_GB2312"/>
                <w:b w:val="0"/>
                <w:bCs w:val="0"/>
                <w:color w:val="000000"/>
                <w:sz w:val="24"/>
              </w:rPr>
            </w:pPr>
          </w:p>
        </w:tc>
        <w:tc>
          <w:tcPr>
            <w:tcW w:w="9174" w:type="dxa"/>
            <w:tcBorders>
              <w:top w:val="single" w:color="000000" w:sz="4" w:space="0"/>
              <w:left w:val="single" w:color="000000" w:sz="8" w:space="0"/>
              <w:bottom w:val="single" w:color="000000" w:sz="4" w:space="0"/>
              <w:right w:val="single" w:color="000000" w:sz="8" w:space="0"/>
            </w:tcBorders>
            <w:shd w:val="clear" w:color="auto" w:fill="auto"/>
            <w:vAlign w:val="center"/>
          </w:tcPr>
          <w:p>
            <w:pPr>
              <w:widowControl/>
              <w:textAlignment w:val="center"/>
              <w:rPr>
                <w:rFonts w:ascii="仿宋" w:hAnsi="仿宋" w:eastAsia="仿宋" w:cs="仿宋"/>
                <w:color w:val="000000"/>
                <w:sz w:val="24"/>
              </w:rPr>
            </w:pPr>
            <w:r>
              <w:rPr>
                <w:rStyle w:val="13"/>
                <w:rFonts w:hint="default" w:ascii="仿宋_GB2312" w:hAnsi="仿宋_GB2312" w:eastAsia="仿宋_GB2312" w:cs="仿宋_GB2312"/>
                <w:lang w:bidi="ar"/>
              </w:rPr>
              <w:t>2.大力发展预制构件智能生产。</w:t>
            </w:r>
            <w:r>
              <w:rPr>
                <w:rStyle w:val="13"/>
                <w:rFonts w:hint="eastAsia" w:ascii="仿宋_GB2312" w:hAnsi="仿宋_GB2312" w:eastAsia="仿宋_GB2312" w:cs="仿宋_GB2312"/>
                <w:b w:val="0"/>
                <w:bCs w:val="0"/>
                <w:lang w:eastAsia="zh-CN" w:bidi="ar"/>
              </w:rPr>
              <w:t>提高预制构件智能化水平，有效提升预制构件生产品质。如</w:t>
            </w:r>
            <w:r>
              <w:rPr>
                <w:rStyle w:val="13"/>
                <w:rFonts w:hint="default" w:ascii="仿宋_GB2312" w:hAnsi="仿宋_GB2312" w:eastAsia="仿宋_GB2312" w:cs="仿宋_GB2312"/>
                <w:lang w:bidi="ar"/>
              </w:rPr>
              <w:t>江苏</w:t>
            </w:r>
            <w:r>
              <w:rPr>
                <w:rStyle w:val="13"/>
                <w:rFonts w:hint="eastAsia" w:ascii="仿宋_GB2312" w:hAnsi="仿宋_GB2312" w:eastAsia="仿宋_GB2312" w:cs="仿宋_GB2312"/>
                <w:lang w:eastAsia="zh-CN" w:bidi="ar"/>
              </w:rPr>
              <w:t>、</w:t>
            </w:r>
            <w:r>
              <w:rPr>
                <w:rStyle w:val="13"/>
                <w:rFonts w:hint="default" w:ascii="仿宋_GB2312" w:hAnsi="仿宋_GB2312" w:eastAsia="仿宋_GB2312" w:cs="仿宋_GB2312"/>
                <w:lang w:bidi="ar"/>
              </w:rPr>
              <w:t>广东</w:t>
            </w:r>
            <w:r>
              <w:rPr>
                <w:rStyle w:val="13"/>
                <w:rFonts w:hint="default" w:ascii="仿宋_GB2312" w:hAnsi="仿宋_GB2312" w:eastAsia="仿宋_GB2312" w:cs="仿宋_GB2312"/>
                <w:b w:val="0"/>
                <w:bCs w:val="0"/>
                <w:lang w:bidi="ar"/>
              </w:rPr>
              <w:t>等地</w:t>
            </w:r>
            <w:r>
              <w:rPr>
                <w:rStyle w:val="14"/>
                <w:rFonts w:hint="default" w:ascii="仿宋_GB2312" w:hAnsi="仿宋_GB2312" w:eastAsia="仿宋_GB2312" w:cs="仿宋_GB2312"/>
                <w:lang w:bidi="ar"/>
              </w:rPr>
              <w:t>鼓励生产企业建设钢构件智能生产线和预制混凝土构件智能生产线，推动生产企业构建以标准部品部件为基础的生产体系，实施溯源管理</w:t>
            </w:r>
            <w:r>
              <w:rPr>
                <w:rStyle w:val="14"/>
                <w:rFonts w:hint="eastAsia" w:ascii="仿宋_GB2312" w:hAnsi="仿宋_GB2312" w:eastAsia="仿宋_GB2312" w:cs="仿宋_GB2312"/>
                <w:lang w:eastAsia="zh-CN" w:bidi="ar"/>
              </w:rPr>
              <w:t>；</w:t>
            </w:r>
            <w:r>
              <w:rPr>
                <w:rStyle w:val="14"/>
                <w:rFonts w:hint="default" w:ascii="仿宋_GB2312" w:hAnsi="仿宋_GB2312" w:eastAsia="仿宋_GB2312" w:cs="仿宋_GB2312"/>
                <w:b/>
                <w:bCs/>
                <w:lang w:bidi="ar"/>
              </w:rPr>
              <w:t>湖北</w:t>
            </w:r>
            <w:r>
              <w:rPr>
                <w:rStyle w:val="14"/>
                <w:rFonts w:hint="default" w:ascii="仿宋_GB2312" w:hAnsi="仿宋_GB2312" w:eastAsia="仿宋_GB2312" w:cs="仿宋_GB2312"/>
                <w:lang w:bidi="ar"/>
              </w:rPr>
              <w:t>推动装配式PC生产线实现数字化生产与信息化管控，采用智能机器人设备驱动，可提供2mm精度的高品质预制构件，工厂设计产能提高约3倍，生产线人工减少50%</w:t>
            </w:r>
            <w:r>
              <w:rPr>
                <w:rStyle w:val="14"/>
                <w:rFonts w:hint="eastAsia" w:ascii="仿宋_GB2312" w:hAnsi="仿宋_GB2312" w:eastAsia="仿宋_GB2312" w:cs="仿宋_GB2312"/>
                <w:lang w:eastAsia="zh-CN" w:bidi="ar"/>
              </w:rPr>
              <w:t>；</w:t>
            </w:r>
            <w:r>
              <w:rPr>
                <w:rStyle w:val="14"/>
                <w:rFonts w:hint="eastAsia" w:ascii="仿宋_GB2312" w:hAnsi="仿宋_GB2312" w:eastAsia="仿宋_GB2312" w:cs="仿宋_GB2312"/>
                <w:b/>
                <w:bCs/>
                <w:lang w:eastAsia="zh-CN" w:bidi="ar"/>
              </w:rPr>
              <w:t>广东</w:t>
            </w:r>
            <w:r>
              <w:rPr>
                <w:rStyle w:val="14"/>
                <w:rFonts w:hint="default" w:ascii="仿宋_GB2312" w:hAnsi="仿宋_GB2312" w:eastAsia="仿宋_GB2312" w:cs="仿宋_GB2312"/>
                <w:b/>
                <w:bCs/>
                <w:lang w:bidi="ar"/>
              </w:rPr>
              <w:t>佛山</w:t>
            </w:r>
            <w:r>
              <w:rPr>
                <w:rStyle w:val="14"/>
                <w:rFonts w:hint="default" w:ascii="仿宋_GB2312" w:hAnsi="仿宋_GB2312" w:eastAsia="仿宋_GB2312" w:cs="仿宋_GB2312"/>
                <w:lang w:bidi="ar"/>
              </w:rPr>
              <w:t>利用本地产业链优势，支持企业自主研发建设</w:t>
            </w:r>
            <w:r>
              <w:rPr>
                <w:rStyle w:val="14"/>
                <w:rFonts w:hint="eastAsia" w:ascii="仿宋_GB2312" w:hAnsi="仿宋_GB2312" w:eastAsia="仿宋_GB2312" w:cs="仿宋_GB2312"/>
                <w:lang w:eastAsia="zh-CN" w:bidi="ar"/>
              </w:rPr>
              <w:t>超高性能混凝土（</w:t>
            </w:r>
            <w:r>
              <w:rPr>
                <w:rStyle w:val="14"/>
                <w:rFonts w:hint="default" w:ascii="仿宋_GB2312" w:hAnsi="仿宋_GB2312" w:eastAsia="仿宋_GB2312" w:cs="仿宋_GB2312"/>
                <w:lang w:bidi="ar"/>
              </w:rPr>
              <w:t>UHPC</w:t>
            </w:r>
            <w:r>
              <w:rPr>
                <w:rStyle w:val="14"/>
                <w:rFonts w:hint="eastAsia" w:ascii="仿宋_GB2312" w:hAnsi="仿宋_GB2312" w:eastAsia="仿宋_GB2312" w:cs="仿宋_GB2312"/>
                <w:lang w:eastAsia="zh-CN" w:bidi="ar"/>
              </w:rPr>
              <w:t>）</w:t>
            </w:r>
            <w:r>
              <w:rPr>
                <w:rStyle w:val="14"/>
                <w:rFonts w:hint="default" w:ascii="仿宋_GB2312" w:hAnsi="仿宋_GB2312" w:eastAsia="仿宋_GB2312" w:cs="仿宋_GB2312"/>
                <w:lang w:bidi="ar"/>
              </w:rPr>
              <w:t>+瓷砖反打一体成型集成卫浴部品部件智能生产线。</w:t>
            </w:r>
          </w:p>
        </w:tc>
      </w:tr>
      <w:tr>
        <w:tblPrEx>
          <w:tblLayout w:type="fixed"/>
          <w:tblCellMar>
            <w:top w:w="0" w:type="dxa"/>
            <w:left w:w="108" w:type="dxa"/>
            <w:bottom w:w="0" w:type="dxa"/>
            <w:right w:w="108" w:type="dxa"/>
          </w:tblCellMar>
        </w:tblPrEx>
        <w:trPr>
          <w:trHeight w:val="2685" w:hRule="atLeast"/>
        </w:trPr>
        <w:tc>
          <w:tcPr>
            <w:tcW w:w="81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eastAsia="宋体" w:cs="宋体"/>
                <w:b/>
                <w:bCs/>
                <w:color w:val="000000"/>
                <w:sz w:val="24"/>
              </w:rPr>
            </w:pPr>
          </w:p>
        </w:tc>
        <w:tc>
          <w:tcPr>
            <w:tcW w:w="1470" w:type="dxa"/>
            <w:vMerge w:val="continue"/>
            <w:tcBorders>
              <w:top w:val="single" w:color="auto" w:sz="4" w:space="0"/>
              <w:left w:val="single" w:color="000000" w:sz="8" w:space="0"/>
              <w:bottom w:val="single" w:color="auto" w:sz="4" w:space="0"/>
              <w:right w:val="single" w:color="000000" w:sz="8" w:space="0"/>
            </w:tcBorders>
            <w:shd w:val="clear" w:color="auto" w:fill="auto"/>
            <w:vAlign w:val="center"/>
          </w:tcPr>
          <w:p>
            <w:pPr>
              <w:jc w:val="center"/>
              <w:rPr>
                <w:rFonts w:ascii="宋体" w:hAnsi="宋体" w:eastAsia="宋体" w:cs="宋体"/>
                <w:b/>
                <w:bCs/>
                <w:color w:val="000000"/>
                <w:sz w:val="24"/>
              </w:rPr>
            </w:pPr>
          </w:p>
        </w:tc>
        <w:tc>
          <w:tcPr>
            <w:tcW w:w="19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楷体_GB2312" w:hAnsi="楷体_GB2312" w:eastAsia="楷体_GB2312" w:cs="楷体_GB2312"/>
                <w:b w:val="0"/>
                <w:bCs w:val="0"/>
                <w:color w:val="000000"/>
                <w:sz w:val="24"/>
              </w:rPr>
            </w:pPr>
          </w:p>
        </w:tc>
        <w:tc>
          <w:tcPr>
            <w:tcW w:w="9174" w:type="dxa"/>
            <w:tcBorders>
              <w:top w:val="single" w:color="000000" w:sz="4" w:space="0"/>
              <w:left w:val="single" w:color="000000" w:sz="8" w:space="0"/>
              <w:bottom w:val="single" w:color="000000" w:sz="8" w:space="0"/>
              <w:right w:val="single" w:color="000000" w:sz="8" w:space="0"/>
            </w:tcBorders>
            <w:shd w:val="clear" w:color="auto" w:fill="auto"/>
            <w:vAlign w:val="center"/>
          </w:tcPr>
          <w:p>
            <w:pPr>
              <w:widowControl/>
              <w:textAlignment w:val="center"/>
              <w:rPr>
                <w:rFonts w:ascii="仿宋" w:hAnsi="仿宋" w:eastAsia="仿宋" w:cs="仿宋"/>
                <w:color w:val="000000"/>
                <w:sz w:val="24"/>
              </w:rPr>
            </w:pPr>
            <w:r>
              <w:rPr>
                <w:rStyle w:val="14"/>
                <w:rFonts w:hint="default" w:ascii="仿宋_GB2312" w:hAnsi="仿宋_GB2312" w:eastAsia="仿宋_GB2312" w:cs="仿宋_GB2312"/>
                <w:b/>
                <w:bCs/>
                <w:lang w:bidi="ar"/>
              </w:rPr>
              <w:t>3.搭建装配式建筑产业互联网平台。</w:t>
            </w:r>
            <w:r>
              <w:rPr>
                <w:rStyle w:val="14"/>
                <w:rFonts w:hint="default" w:ascii="仿宋_GB2312" w:hAnsi="仿宋_GB2312" w:eastAsia="仿宋_GB2312" w:cs="仿宋_GB2312"/>
                <w:lang w:bidi="ar"/>
              </w:rPr>
              <w:t>通过搭建公共服务平台，推动产业要素聚集，实现工程项目建造信息在建筑全生命期的高效传递、交互和使用，提升信息化管理能力。如</w:t>
            </w:r>
            <w:r>
              <w:rPr>
                <w:rStyle w:val="14"/>
                <w:rFonts w:hint="default" w:ascii="仿宋_GB2312" w:hAnsi="仿宋_GB2312" w:eastAsia="仿宋_GB2312" w:cs="仿宋_GB2312"/>
                <w:b/>
                <w:bCs/>
                <w:lang w:bidi="ar"/>
              </w:rPr>
              <w:t>湖南</w:t>
            </w:r>
            <w:r>
              <w:rPr>
                <w:rStyle w:val="14"/>
                <w:rFonts w:hint="default" w:ascii="仿宋_GB2312" w:hAnsi="仿宋_GB2312" w:eastAsia="仿宋_GB2312" w:cs="仿宋_GB2312"/>
                <w:lang w:bidi="ar"/>
              </w:rPr>
              <w:t>投入1500万财政资金，建立全省统一的装配式建筑智能建造平台，企业可以利用该平台进行BIM正向设计，通过连接标准部品部件库及生产施工管理系统，初步实现标准化设计方案一键出图、设计数据一键导入工厂自动排产等功能，实现各种要素资源整合</w:t>
            </w:r>
            <w:r>
              <w:rPr>
                <w:rStyle w:val="14"/>
                <w:rFonts w:hint="eastAsia" w:ascii="仿宋_GB2312" w:hAnsi="仿宋_GB2312" w:eastAsia="仿宋_GB2312" w:cs="仿宋_GB2312"/>
                <w:lang w:eastAsia="zh-CN" w:bidi="ar"/>
              </w:rPr>
              <w:t>；</w:t>
            </w:r>
            <w:r>
              <w:rPr>
                <w:rStyle w:val="14"/>
                <w:rFonts w:hint="default" w:ascii="仿宋_GB2312" w:hAnsi="仿宋_GB2312" w:eastAsia="仿宋_GB2312" w:cs="仿宋_GB2312"/>
                <w:b/>
                <w:bCs/>
                <w:lang w:bidi="ar"/>
              </w:rPr>
              <w:t>湖北</w:t>
            </w:r>
            <w:r>
              <w:rPr>
                <w:rStyle w:val="14"/>
                <w:rFonts w:hint="default" w:ascii="仿宋_GB2312" w:hAnsi="仿宋_GB2312" w:eastAsia="仿宋_GB2312" w:cs="仿宋_GB2312"/>
                <w:lang w:bidi="ar"/>
              </w:rPr>
              <w:t>以工程金融为依托，以智能构件为核心，利用BIM技术、大数据、物联网、移动互联网、区块链等前沿信息技术</w:t>
            </w:r>
            <w:r>
              <w:rPr>
                <w:rStyle w:val="14"/>
                <w:rFonts w:hint="eastAsia" w:ascii="仿宋_GB2312" w:hAnsi="仿宋_GB2312" w:eastAsia="仿宋_GB2312" w:cs="仿宋_GB2312"/>
                <w:lang w:eastAsia="zh-CN" w:bidi="ar"/>
              </w:rPr>
              <w:t>，搭建建筑产业互联网平台</w:t>
            </w:r>
            <w:r>
              <w:rPr>
                <w:rStyle w:val="14"/>
                <w:rFonts w:hint="default" w:ascii="仿宋_GB2312" w:hAnsi="仿宋_GB2312" w:eastAsia="仿宋_GB2312" w:cs="仿宋_GB2312"/>
                <w:lang w:bidi="ar"/>
              </w:rPr>
              <w:t>，</w:t>
            </w:r>
            <w:r>
              <w:rPr>
                <w:rStyle w:val="14"/>
                <w:rFonts w:hint="eastAsia" w:ascii="仿宋_GB2312" w:hAnsi="仿宋_GB2312" w:eastAsia="仿宋_GB2312" w:cs="仿宋_GB2312"/>
                <w:lang w:bidi="ar"/>
              </w:rPr>
              <w:t>实现项目、参建方和产业三方的数据互通、信息共享</w:t>
            </w:r>
            <w:r>
              <w:rPr>
                <w:rStyle w:val="14"/>
                <w:rFonts w:hint="eastAsia" w:ascii="仿宋_GB2312" w:hAnsi="仿宋_GB2312" w:eastAsia="仿宋_GB2312" w:cs="仿宋_GB2312"/>
                <w:lang w:eastAsia="zh-CN" w:bidi="ar"/>
              </w:rPr>
              <w:t>和</w:t>
            </w:r>
            <w:r>
              <w:rPr>
                <w:rStyle w:val="14"/>
                <w:rFonts w:hint="eastAsia" w:ascii="仿宋_GB2312" w:hAnsi="仿宋_GB2312" w:eastAsia="仿宋_GB2312" w:cs="仿宋_GB2312"/>
                <w:lang w:bidi="ar"/>
              </w:rPr>
              <w:t>业务协作</w:t>
            </w:r>
            <w:r>
              <w:rPr>
                <w:rStyle w:val="14"/>
                <w:rFonts w:hint="default" w:ascii="仿宋_GB2312" w:hAnsi="仿宋_GB2312" w:eastAsia="仿宋_GB2312" w:cs="仿宋_GB2312"/>
                <w:lang w:bidi="ar"/>
              </w:rPr>
              <w:t>。</w:t>
            </w:r>
          </w:p>
        </w:tc>
      </w:tr>
      <w:tr>
        <w:tblPrEx>
          <w:tblLayout w:type="fixed"/>
          <w:tblCellMar>
            <w:top w:w="0" w:type="dxa"/>
            <w:left w:w="108" w:type="dxa"/>
            <w:bottom w:w="0" w:type="dxa"/>
            <w:right w:w="108" w:type="dxa"/>
          </w:tblCellMar>
        </w:tblPrEx>
        <w:trPr>
          <w:trHeight w:val="2271" w:hRule="atLeast"/>
        </w:trPr>
        <w:tc>
          <w:tcPr>
            <w:tcW w:w="81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eastAsia="宋体" w:cs="宋体"/>
                <w:b/>
                <w:bCs/>
                <w:color w:val="000000"/>
                <w:sz w:val="24"/>
              </w:rPr>
            </w:pPr>
          </w:p>
        </w:tc>
        <w:tc>
          <w:tcPr>
            <w:tcW w:w="1470" w:type="dxa"/>
            <w:vMerge w:val="continue"/>
            <w:tcBorders>
              <w:top w:val="single" w:color="auto" w:sz="4" w:space="0"/>
              <w:left w:val="single" w:color="000000" w:sz="8" w:space="0"/>
              <w:bottom w:val="single" w:color="auto" w:sz="4" w:space="0"/>
              <w:right w:val="single" w:color="000000" w:sz="8" w:space="0"/>
            </w:tcBorders>
            <w:shd w:val="clear" w:color="auto" w:fill="auto"/>
            <w:vAlign w:val="center"/>
          </w:tcPr>
          <w:p>
            <w:pPr>
              <w:jc w:val="center"/>
              <w:rPr>
                <w:rFonts w:ascii="宋体" w:hAnsi="宋体" w:eastAsia="宋体" w:cs="宋体"/>
                <w:b/>
                <w:bCs/>
                <w:color w:val="000000"/>
                <w:sz w:val="24"/>
              </w:rPr>
            </w:pPr>
          </w:p>
        </w:tc>
        <w:tc>
          <w:tcPr>
            <w:tcW w:w="1985"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楷体_GB2312" w:hAnsi="楷体_GB2312" w:eastAsia="楷体_GB2312" w:cs="楷体_GB2312"/>
                <w:b w:val="0"/>
                <w:bCs w:val="0"/>
                <w:color w:val="000000"/>
                <w:sz w:val="24"/>
              </w:rPr>
            </w:pPr>
            <w:r>
              <w:rPr>
                <w:rFonts w:hint="eastAsia" w:ascii="楷体_GB2312" w:hAnsi="楷体_GB2312" w:eastAsia="楷体_GB2312" w:cs="楷体_GB2312"/>
                <w:b w:val="0"/>
                <w:bCs w:val="0"/>
                <w:color w:val="000000"/>
                <w:kern w:val="0"/>
                <w:sz w:val="24"/>
                <w:lang w:bidi="ar"/>
              </w:rPr>
              <w:t>（三）构建一体化绿色发展模式</w:t>
            </w:r>
          </w:p>
        </w:tc>
        <w:tc>
          <w:tcPr>
            <w:tcW w:w="9174"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textAlignment w:val="center"/>
              <w:rPr>
                <w:rFonts w:ascii="仿宋" w:hAnsi="仿宋" w:eastAsia="仿宋_GB2312" w:cs="仿宋"/>
                <w:color w:val="000000"/>
                <w:sz w:val="24"/>
              </w:rPr>
            </w:pPr>
            <w:r>
              <w:rPr>
                <w:rStyle w:val="13"/>
                <w:rFonts w:hint="default"/>
                <w:lang w:bidi="ar"/>
              </w:rPr>
              <w:t>1.推动装配式建造与绿色建材、绿色建筑融合发展</w:t>
            </w:r>
            <w:r>
              <w:rPr>
                <w:rStyle w:val="13"/>
                <w:rFonts w:hint="default" w:ascii="仿宋_GB2312" w:hAnsi="仿宋_GB2312" w:eastAsia="仿宋_GB2312" w:cs="仿宋_GB2312"/>
                <w:lang w:bidi="ar"/>
              </w:rPr>
              <w:t>。</w:t>
            </w:r>
            <w:r>
              <w:rPr>
                <w:rStyle w:val="13"/>
                <w:rFonts w:hint="eastAsia" w:ascii="仿宋_GB2312" w:hAnsi="仿宋_GB2312" w:eastAsia="仿宋_GB2312" w:cs="仿宋_GB2312"/>
                <w:b w:val="0"/>
                <w:bCs w:val="0"/>
                <w:lang w:eastAsia="zh-CN" w:bidi="ar"/>
              </w:rPr>
              <w:t>发挥绿色建筑引领作用，积极选用绿色建材，采用装配式建造方式，促进绿色技术集成应用，推进城乡建设绿色发展。如</w:t>
            </w:r>
            <w:r>
              <w:rPr>
                <w:rStyle w:val="13"/>
                <w:rFonts w:hint="eastAsia" w:ascii="仿宋_GB2312" w:hAnsi="仿宋_GB2312" w:eastAsia="仿宋_GB2312" w:cs="仿宋_GB2312"/>
                <w:lang w:eastAsia="zh-CN" w:bidi="ar"/>
              </w:rPr>
              <w:t>江苏</w:t>
            </w:r>
            <w:r>
              <w:rPr>
                <w:rStyle w:val="13"/>
                <w:rFonts w:hint="default" w:ascii="仿宋_GB2312" w:hAnsi="仿宋_GB2312" w:eastAsia="仿宋_GB2312" w:cs="仿宋_GB2312"/>
                <w:lang w:bidi="ar"/>
              </w:rPr>
              <w:t>南京</w:t>
            </w:r>
            <w:r>
              <w:rPr>
                <w:rStyle w:val="13"/>
                <w:rFonts w:hint="eastAsia" w:ascii="仿宋_GB2312" w:hAnsi="仿宋_GB2312" w:eastAsia="仿宋_GB2312" w:cs="仿宋_GB2312"/>
                <w:lang w:eastAsia="zh-CN" w:bidi="ar"/>
              </w:rPr>
              <w:t>，浙江</w:t>
            </w:r>
            <w:r>
              <w:rPr>
                <w:rFonts w:hint="eastAsia" w:ascii="仿宋_GB2312" w:hAnsi="仿宋_GB2312" w:eastAsia="仿宋_GB2312" w:cs="仿宋_GB2312"/>
                <w:b/>
                <w:bCs/>
                <w:color w:val="000000"/>
                <w:kern w:val="0"/>
                <w:sz w:val="24"/>
                <w:lang w:bidi="ar"/>
              </w:rPr>
              <w:t>杭州、绍兴、湖州</w:t>
            </w:r>
            <w:r>
              <w:rPr>
                <w:rFonts w:hint="eastAsia" w:ascii="仿宋_GB2312" w:hAnsi="仿宋_GB2312" w:eastAsia="仿宋_GB2312" w:cs="仿宋_GB2312"/>
                <w:b/>
                <w:bCs/>
                <w:color w:val="000000"/>
                <w:kern w:val="0"/>
                <w:sz w:val="24"/>
                <w:lang w:eastAsia="zh-CN" w:bidi="ar"/>
              </w:rPr>
              <w:t>，</w:t>
            </w:r>
            <w:r>
              <w:rPr>
                <w:rStyle w:val="13"/>
                <w:rFonts w:hint="eastAsia" w:ascii="仿宋_GB2312" w:hAnsi="仿宋_GB2312" w:eastAsia="仿宋_GB2312" w:cs="仿宋_GB2312"/>
                <w:lang w:eastAsia="zh-CN" w:bidi="ar"/>
              </w:rPr>
              <w:t>山东</w:t>
            </w:r>
            <w:r>
              <w:rPr>
                <w:rStyle w:val="13"/>
                <w:rFonts w:hint="default" w:ascii="仿宋_GB2312" w:hAnsi="仿宋_GB2312" w:eastAsia="仿宋_GB2312" w:cs="仿宋_GB2312"/>
                <w:lang w:bidi="ar"/>
              </w:rPr>
              <w:t>青岛</w:t>
            </w:r>
            <w:r>
              <w:rPr>
                <w:rStyle w:val="13"/>
                <w:rFonts w:hint="eastAsia" w:ascii="仿宋_GB2312" w:hAnsi="仿宋_GB2312" w:eastAsia="仿宋_GB2312" w:cs="仿宋_GB2312"/>
                <w:lang w:eastAsia="zh-CN" w:bidi="ar"/>
              </w:rPr>
              <w:t>，</w:t>
            </w:r>
            <w:r>
              <w:rPr>
                <w:rFonts w:hint="eastAsia" w:ascii="仿宋_GB2312" w:hAnsi="仿宋_GB2312" w:eastAsia="仿宋_GB2312" w:cs="仿宋_GB2312"/>
                <w:b/>
                <w:bCs/>
                <w:color w:val="000000"/>
                <w:kern w:val="0"/>
                <w:sz w:val="24"/>
                <w:lang w:eastAsia="zh-CN" w:bidi="ar"/>
              </w:rPr>
              <w:t>广东</w:t>
            </w:r>
            <w:r>
              <w:rPr>
                <w:rFonts w:hint="eastAsia" w:ascii="仿宋_GB2312" w:hAnsi="仿宋_GB2312" w:eastAsia="仿宋_GB2312" w:cs="仿宋_GB2312"/>
                <w:b/>
                <w:bCs/>
                <w:color w:val="000000"/>
                <w:kern w:val="0"/>
                <w:sz w:val="24"/>
                <w:lang w:bidi="ar"/>
              </w:rPr>
              <w:t>佛山</w:t>
            </w:r>
            <w:r>
              <w:rPr>
                <w:rFonts w:hint="eastAsia" w:ascii="仿宋_GB2312" w:hAnsi="仿宋_GB2312" w:eastAsia="仿宋_GB2312" w:cs="仿宋_GB2312"/>
                <w:b w:val="0"/>
                <w:bCs w:val="0"/>
                <w:color w:val="000000"/>
                <w:kern w:val="0"/>
                <w:sz w:val="24"/>
                <w:lang w:eastAsia="zh-CN" w:bidi="ar"/>
              </w:rPr>
              <w:t>以</w:t>
            </w:r>
            <w:r>
              <w:rPr>
                <w:rFonts w:hint="eastAsia" w:ascii="仿宋_GB2312" w:hAnsi="仿宋_GB2312" w:eastAsia="仿宋_GB2312" w:cs="仿宋_GB2312"/>
                <w:color w:val="000000"/>
                <w:kern w:val="0"/>
                <w:sz w:val="24"/>
                <w:lang w:bidi="ar"/>
              </w:rPr>
              <w:t>政府采购需求为引领，积极</w:t>
            </w:r>
            <w:r>
              <w:rPr>
                <w:rStyle w:val="14"/>
                <w:rFonts w:hint="default" w:ascii="仿宋_GB2312" w:hAnsi="仿宋_GB2312" w:eastAsia="仿宋_GB2312" w:cs="仿宋_GB2312"/>
                <w:lang w:bidi="ar"/>
              </w:rPr>
              <w:t>推动政府采购工程项目（含政府投资项目）强制采购符合标准的绿色建材、采用装配式建造方式、建设二星级以上绿色建筑，共完成222个试点项目，累计采购绿色建材</w:t>
            </w:r>
            <w:r>
              <w:rPr>
                <w:rStyle w:val="14"/>
                <w:rFonts w:hint="eastAsia" w:ascii="仿宋_GB2312" w:hAnsi="仿宋_GB2312" w:eastAsia="仿宋_GB2312" w:cs="仿宋_GB2312"/>
                <w:lang w:eastAsia="zh-CN" w:bidi="ar"/>
              </w:rPr>
              <w:t>约</w:t>
            </w:r>
            <w:r>
              <w:rPr>
                <w:rStyle w:val="14"/>
                <w:rFonts w:hint="default" w:ascii="仿宋_GB2312" w:hAnsi="仿宋_GB2312" w:eastAsia="仿宋_GB2312" w:cs="仿宋_GB2312"/>
                <w:lang w:bidi="ar"/>
              </w:rPr>
              <w:t>53亿元，逐步探索形成了“绿色采购+绿色建材、绿色建造、绿色建筑”的“四绿模式”</w:t>
            </w:r>
            <w:r>
              <w:rPr>
                <w:rStyle w:val="14"/>
                <w:rFonts w:hint="eastAsia" w:ascii="仿宋_GB2312" w:hAnsi="仿宋_GB2312" w:eastAsia="仿宋_GB2312" w:cs="仿宋_GB2312"/>
                <w:lang w:eastAsia="zh-CN" w:bidi="ar"/>
              </w:rPr>
              <w:t>；</w:t>
            </w:r>
            <w:r>
              <w:rPr>
                <w:rStyle w:val="14"/>
                <w:rFonts w:hint="eastAsia" w:ascii="仿宋_GB2312" w:hAnsi="仿宋_GB2312" w:eastAsia="仿宋_GB2312" w:cs="仿宋_GB2312"/>
                <w:b/>
                <w:bCs/>
                <w:lang w:eastAsia="zh-CN" w:bidi="ar"/>
              </w:rPr>
              <w:t>安徽</w:t>
            </w:r>
            <w:r>
              <w:rPr>
                <w:rStyle w:val="14"/>
                <w:rFonts w:hint="default" w:ascii="仿宋_GB2312" w:hAnsi="仿宋_GB2312" w:eastAsia="仿宋_GB2312" w:cs="仿宋_GB2312"/>
                <w:b/>
                <w:bCs/>
                <w:lang w:bidi="ar"/>
              </w:rPr>
              <w:t>合肥</w:t>
            </w:r>
            <w:r>
              <w:rPr>
                <w:rStyle w:val="14"/>
                <w:rFonts w:hint="default" w:ascii="仿宋_GB2312" w:hAnsi="仿宋_GB2312" w:eastAsia="仿宋_GB2312" w:cs="仿宋_GB2312"/>
                <w:lang w:bidi="ar"/>
              </w:rPr>
              <w:t>装配式建筑项目全面推行“1+5”建造模式，</w:t>
            </w:r>
            <w:r>
              <w:rPr>
                <w:rFonts w:hint="eastAsia" w:ascii="仿宋_GB2312" w:hAnsi="仿宋_GB2312" w:eastAsia="仿宋_GB2312" w:cs="仿宋_GB2312"/>
                <w:color w:val="000000"/>
                <w:kern w:val="0"/>
                <w:sz w:val="24"/>
                <w:lang w:bidi="ar"/>
              </w:rPr>
              <w:t>即“装配式建筑”+“工程总承包（EPC）+建筑信息模型（BIM）+新型模板+专业化队伍+绿色建筑”，助力建筑业转型升级。</w:t>
            </w:r>
          </w:p>
        </w:tc>
      </w:tr>
    </w:tbl>
    <w:p/>
    <w:sectPr>
      <w:footerReference r:id="rId3" w:type="default"/>
      <w:pgSz w:w="16838" w:h="11906" w:orient="landscape"/>
      <w:pgMar w:top="1701" w:right="1440" w:bottom="1701" w:left="1440" w:header="851" w:footer="992" w:gutter="0"/>
      <w:pgBorders>
        <w:top w:val="none" w:sz="0" w:space="0"/>
        <w:left w:val="none" w:sz="0" w:space="0"/>
        <w:bottom w:val="none" w:sz="0" w:space="0"/>
        <w:right w:val="none" w:sz="0" w:space="0"/>
      </w:pgBorders>
      <w:pgNumType w:start="2"/>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7A"/>
    <w:family w:val="auto"/>
    <w:pitch w:val="default"/>
    <w:sig w:usb0="00000000" w:usb1="00000000" w:usb2="00000008" w:usb3="00000000" w:csb0="400001FF" w:csb1="FFFF0000"/>
  </w:font>
  <w:font w:name="宋体">
    <w:panose1 w:val="02010600030101010101"/>
    <w:charset w:val="7A"/>
    <w:family w:val="auto"/>
    <w:pitch w:val="default"/>
    <w:sig w:usb0="00000003" w:usb1="288F0000" w:usb2="00000006" w:usb3="00000000" w:csb0="00040001" w:csb1="00000000"/>
  </w:font>
  <w:font w:name="DejaVu Sans">
    <w:panose1 w:val="020B0603030804020204"/>
    <w:charset w:val="00"/>
    <w:family w:val="roman"/>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Calibri">
    <w:altName w:val="DejaVu Sans"/>
    <w:panose1 w:val="020F0502020204030204"/>
    <w:charset w:val="00"/>
    <w:family w:val="swiss"/>
    <w:pitch w:val="default"/>
    <w:sig w:usb0="00000000" w:usb1="00000000" w:usb2="00000001" w:usb3="00000000" w:csb0="0000019F" w:csb1="00000000"/>
  </w:font>
  <w:font w:name="仿宋">
    <w:panose1 w:val="02010609060101010101"/>
    <w:charset w:val="86"/>
    <w:family w:val="modern"/>
    <w:pitch w:val="default"/>
    <w:sig w:usb0="800002BF" w:usb1="38CF7CFA" w:usb2="00000016" w:usb3="00000000" w:csb0="00040001" w:csb1="00000000"/>
  </w:font>
  <w:font w:name="黑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创艺简标宋">
    <w:altName w:val="方正书宋_GBK"/>
    <w:panose1 w:val="00000000000000000000"/>
    <w:charset w:val="00"/>
    <w:family w:val="auto"/>
    <w:pitch w:val="default"/>
    <w:sig w:usb0="00000000" w:usb1="00000000" w:usb2="00000000" w:usb3="00000000" w:csb0="0000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7A"/>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ind w:firstLine="0" w:firstLineChars="0"/>
                            <w:rPr>
                              <w:rFonts w:hint="eastAsia" w:eastAsiaTheme="minorEastAsia"/>
                              <w:lang w:val="en-US" w:eastAsia="zh-CN"/>
                            </w:rPr>
                          </w:pP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 xml:space="preserve"> </w:t>
                          </w: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hint="eastAsia" w:asciiTheme="minorEastAsia" w:hAnsiTheme="minorEastAsia" w:cstheme="minorEastAsia"/>
                              <w:sz w:val="28"/>
                              <w:szCs w:val="28"/>
                            </w:rPr>
                            <w:t>1</w:t>
                          </w:r>
                          <w:r>
                            <w:rPr>
                              <w:rFonts w:hint="eastAsia" w:asciiTheme="minorEastAsia" w:hAnsiTheme="minorEastAsia" w:cstheme="minorEastAsia"/>
                              <w:sz w:val="28"/>
                              <w:szCs w:val="28"/>
                            </w:rPr>
                            <w:fldChar w:fldCharType="end"/>
                          </w:r>
                          <w:r>
                            <w:rPr>
                              <w:rFonts w:hint="eastAsia" w:asciiTheme="minorEastAsia" w:hAnsiTheme="minorEastAsia" w:cstheme="minorEastAsia"/>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FgAAAGRycy9QSwECFAAUAAAACACHTuJAs0lY7tAAAAAF&#10;AQAADwAAAAAAAAABACAAAAA4AAAAZHJzL2Rvd25yZXYueG1sUEsBAhQAFAAAAAgAh07iQPpO5poO&#10;AgAABwQAAA4AAAAAAAAAAQAgAAAANQEAAGRycy9lMm9Eb2MueG1sUEsFBgAAAAAGAAYAWQEAALUF&#10;AAAAAA==&#10;">
              <v:fill on="f" focussize="0,0"/>
              <v:stroke on="f" weight="0.5pt"/>
              <v:imagedata o:title=""/>
              <o:lock v:ext="edit" aspectratio="f"/>
              <v:textbox inset="0mm,0mm,0mm,0mm" style="mso-fit-shape-to-text:t;">
                <w:txbxContent>
                  <w:p>
                    <w:pPr>
                      <w:pStyle w:val="4"/>
                      <w:ind w:firstLine="0" w:firstLineChars="0"/>
                      <w:rPr>
                        <w:rFonts w:hint="eastAsia" w:eastAsiaTheme="minorEastAsia"/>
                        <w:lang w:val="en-US" w:eastAsia="zh-CN"/>
                      </w:rPr>
                    </w:pP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 xml:space="preserve"> </w:t>
                    </w: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hint="eastAsia" w:asciiTheme="minorEastAsia" w:hAnsiTheme="minorEastAsia" w:cstheme="minorEastAsia"/>
                        <w:sz w:val="28"/>
                        <w:szCs w:val="28"/>
                      </w:rPr>
                      <w:t>1</w:t>
                    </w:r>
                    <w:r>
                      <w:rPr>
                        <w:rFonts w:hint="eastAsia" w:asciiTheme="minorEastAsia" w:hAnsiTheme="minorEastAsia" w:cstheme="minorEastAsia"/>
                        <w:sz w:val="28"/>
                        <w:szCs w:val="28"/>
                      </w:rPr>
                      <w:fldChar w:fldCharType="end"/>
                    </w:r>
                    <w:r>
                      <w:rPr>
                        <w:rFonts w:hint="eastAsia" w:asciiTheme="minorEastAsia" w:hAnsiTheme="minorEastAsia" w:cstheme="minorEastAsia"/>
                        <w:sz w:val="28"/>
                        <w:szCs w:val="28"/>
                        <w:lang w:val="en-US"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YzNjBkOTgyNWQ1YTMxYzM3MzMwNWFiODNmOWIzYWMifQ=="/>
  </w:docVars>
  <w:rsids>
    <w:rsidRoot w:val="72296231"/>
    <w:rsid w:val="000136B9"/>
    <w:rsid w:val="00041160"/>
    <w:rsid w:val="00073AB3"/>
    <w:rsid w:val="00152EB3"/>
    <w:rsid w:val="00172B52"/>
    <w:rsid w:val="001B6CAD"/>
    <w:rsid w:val="001C025A"/>
    <w:rsid w:val="00212DB9"/>
    <w:rsid w:val="00225D9D"/>
    <w:rsid w:val="00251135"/>
    <w:rsid w:val="002B6280"/>
    <w:rsid w:val="002D46D2"/>
    <w:rsid w:val="00301461"/>
    <w:rsid w:val="00311032"/>
    <w:rsid w:val="003306D4"/>
    <w:rsid w:val="003343E4"/>
    <w:rsid w:val="00350BB0"/>
    <w:rsid w:val="00364C2C"/>
    <w:rsid w:val="0038431D"/>
    <w:rsid w:val="00390639"/>
    <w:rsid w:val="003B46E4"/>
    <w:rsid w:val="003C263B"/>
    <w:rsid w:val="004045E2"/>
    <w:rsid w:val="0045513D"/>
    <w:rsid w:val="00472D99"/>
    <w:rsid w:val="004C73E5"/>
    <w:rsid w:val="004F2BB0"/>
    <w:rsid w:val="00504079"/>
    <w:rsid w:val="00506E13"/>
    <w:rsid w:val="005075B0"/>
    <w:rsid w:val="00531239"/>
    <w:rsid w:val="00532960"/>
    <w:rsid w:val="00563FBF"/>
    <w:rsid w:val="00585DF7"/>
    <w:rsid w:val="005F5BF5"/>
    <w:rsid w:val="006073E2"/>
    <w:rsid w:val="00616AC7"/>
    <w:rsid w:val="00690F27"/>
    <w:rsid w:val="006D1CC7"/>
    <w:rsid w:val="006F2EA4"/>
    <w:rsid w:val="006F4613"/>
    <w:rsid w:val="00733CF0"/>
    <w:rsid w:val="00740CCB"/>
    <w:rsid w:val="007933D6"/>
    <w:rsid w:val="007A405E"/>
    <w:rsid w:val="007F0050"/>
    <w:rsid w:val="00812E6B"/>
    <w:rsid w:val="008255B3"/>
    <w:rsid w:val="008E162D"/>
    <w:rsid w:val="009007FD"/>
    <w:rsid w:val="00A412C8"/>
    <w:rsid w:val="00A85A61"/>
    <w:rsid w:val="00AC36EF"/>
    <w:rsid w:val="00B748F7"/>
    <w:rsid w:val="00B74EB4"/>
    <w:rsid w:val="00BB7ACF"/>
    <w:rsid w:val="00C80EF4"/>
    <w:rsid w:val="00CE158E"/>
    <w:rsid w:val="00D23B6A"/>
    <w:rsid w:val="00D752CE"/>
    <w:rsid w:val="00DA3A5D"/>
    <w:rsid w:val="00DB6034"/>
    <w:rsid w:val="00F05BA7"/>
    <w:rsid w:val="00F154D3"/>
    <w:rsid w:val="00F2510E"/>
    <w:rsid w:val="00FB18DE"/>
    <w:rsid w:val="043D16BB"/>
    <w:rsid w:val="08EA3113"/>
    <w:rsid w:val="0D995A37"/>
    <w:rsid w:val="16CF7B02"/>
    <w:rsid w:val="172A49D3"/>
    <w:rsid w:val="19932D81"/>
    <w:rsid w:val="1BDF44F7"/>
    <w:rsid w:val="1EFD4EE3"/>
    <w:rsid w:val="212D4245"/>
    <w:rsid w:val="2D6D696A"/>
    <w:rsid w:val="2FC126AB"/>
    <w:rsid w:val="31956219"/>
    <w:rsid w:val="323B513B"/>
    <w:rsid w:val="32840A8B"/>
    <w:rsid w:val="32C2779D"/>
    <w:rsid w:val="37502AEE"/>
    <w:rsid w:val="39843448"/>
    <w:rsid w:val="3E5C7436"/>
    <w:rsid w:val="3FECBD4A"/>
    <w:rsid w:val="40781E26"/>
    <w:rsid w:val="40BC05BA"/>
    <w:rsid w:val="44573C8C"/>
    <w:rsid w:val="45CC6857"/>
    <w:rsid w:val="468D6ED0"/>
    <w:rsid w:val="47DF3DBC"/>
    <w:rsid w:val="49C824CF"/>
    <w:rsid w:val="50E9433F"/>
    <w:rsid w:val="51F63215"/>
    <w:rsid w:val="53DC6E60"/>
    <w:rsid w:val="541277B9"/>
    <w:rsid w:val="56FDBE53"/>
    <w:rsid w:val="5E5462E3"/>
    <w:rsid w:val="605060E4"/>
    <w:rsid w:val="60C13405"/>
    <w:rsid w:val="60F97AF7"/>
    <w:rsid w:val="632A00A3"/>
    <w:rsid w:val="634A70E3"/>
    <w:rsid w:val="696D5E38"/>
    <w:rsid w:val="6BF77E96"/>
    <w:rsid w:val="6C9949AB"/>
    <w:rsid w:val="6E1E7682"/>
    <w:rsid w:val="6F77C7DC"/>
    <w:rsid w:val="6F7F4D6A"/>
    <w:rsid w:val="70D439A2"/>
    <w:rsid w:val="72296231"/>
    <w:rsid w:val="74B62600"/>
    <w:rsid w:val="75C91928"/>
    <w:rsid w:val="77C169A4"/>
    <w:rsid w:val="7DFDF140"/>
    <w:rsid w:val="A7FC690B"/>
    <w:rsid w:val="AFC6F934"/>
    <w:rsid w:val="D27BCDE0"/>
    <w:rsid w:val="DDA62D95"/>
    <w:rsid w:val="E2FADDE9"/>
    <w:rsid w:val="E37DF5E5"/>
    <w:rsid w:val="E9FC9C95"/>
    <w:rsid w:val="EE3FC88C"/>
    <w:rsid w:val="F7FAECFE"/>
    <w:rsid w:val="FAFB8170"/>
    <w:rsid w:val="FFBF12E3"/>
    <w:rsid w:val="FFC6849F"/>
    <w:rsid w:val="FFF5B3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2">
    <w:name w:val="Title"/>
    <w:basedOn w:val="1"/>
    <w:next w:val="1"/>
    <w:qFormat/>
    <w:uiPriority w:val="0"/>
    <w:pPr>
      <w:spacing w:line="440" w:lineRule="exact"/>
      <w:jc w:val="center"/>
      <w:outlineLvl w:val="0"/>
    </w:pPr>
    <w:rPr>
      <w:b/>
      <w:bCs/>
      <w:szCs w:val="32"/>
    </w:rPr>
  </w:style>
  <w:style w:type="paragraph" w:styleId="3">
    <w:name w:val="Balloon Text"/>
    <w:basedOn w:val="1"/>
    <w:link w:val="15"/>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spacing w:line="270" w:lineRule="atLeast"/>
      <w:jc w:val="left"/>
    </w:pPr>
    <w:rPr>
      <w:rFonts w:cs="Times New Roman"/>
      <w:kern w:val="0"/>
      <w:sz w:val="24"/>
    </w:rPr>
  </w:style>
  <w:style w:type="character" w:styleId="8">
    <w:name w:val="Strong"/>
    <w:basedOn w:val="7"/>
    <w:qFormat/>
    <w:uiPriority w:val="0"/>
    <w:rPr>
      <w:b/>
    </w:rPr>
  </w:style>
  <w:style w:type="character" w:styleId="9">
    <w:name w:val="FollowedHyperlink"/>
    <w:basedOn w:val="7"/>
    <w:qFormat/>
    <w:uiPriority w:val="0"/>
    <w:rPr>
      <w:color w:val="800080"/>
      <w:u w:val="none"/>
    </w:rPr>
  </w:style>
  <w:style w:type="character" w:styleId="10">
    <w:name w:val="Hyperlink"/>
    <w:basedOn w:val="7"/>
    <w:qFormat/>
    <w:uiPriority w:val="0"/>
    <w:rPr>
      <w:color w:val="0000FF"/>
      <w:u w:val="none"/>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3">
    <w:name w:val="font61"/>
    <w:basedOn w:val="7"/>
    <w:qFormat/>
    <w:uiPriority w:val="0"/>
    <w:rPr>
      <w:rFonts w:hint="eastAsia" w:ascii="仿宋" w:hAnsi="仿宋" w:eastAsia="仿宋" w:cs="仿宋"/>
      <w:b/>
      <w:bCs/>
      <w:color w:val="000000"/>
      <w:sz w:val="24"/>
      <w:szCs w:val="24"/>
      <w:u w:val="none"/>
    </w:rPr>
  </w:style>
  <w:style w:type="character" w:customStyle="1" w:styleId="14">
    <w:name w:val="font81"/>
    <w:basedOn w:val="7"/>
    <w:qFormat/>
    <w:uiPriority w:val="0"/>
    <w:rPr>
      <w:rFonts w:hint="eastAsia" w:ascii="仿宋" w:hAnsi="仿宋" w:eastAsia="仿宋" w:cs="仿宋"/>
      <w:color w:val="000000"/>
      <w:sz w:val="24"/>
      <w:szCs w:val="24"/>
      <w:u w:val="none"/>
    </w:rPr>
  </w:style>
  <w:style w:type="character" w:customStyle="1" w:styleId="15">
    <w:name w:val="批注框文本 Char"/>
    <w:basedOn w:val="7"/>
    <w:link w:val="3"/>
    <w:qFormat/>
    <w:uiPriority w:val="0"/>
    <w:rPr>
      <w:rFonts w:asciiTheme="minorHAnsi" w:hAnsiTheme="minorHAnsi" w:eastAsiaTheme="minorEastAsia" w:cstheme="minorBidi"/>
      <w:kern w:val="2"/>
      <w:sz w:val="18"/>
      <w:szCs w:val="18"/>
    </w:rPr>
  </w:style>
  <w:style w:type="character" w:customStyle="1" w:styleId="16">
    <w:name w:val="last-child"/>
    <w:basedOn w:val="7"/>
    <w:qFormat/>
    <w:uiPriority w:val="0"/>
  </w:style>
  <w:style w:type="character" w:customStyle="1" w:styleId="17">
    <w:name w:val="hover47"/>
    <w:basedOn w:val="7"/>
    <w:qFormat/>
    <w:uiPriority w:val="0"/>
    <w:rPr>
      <w:color w:val="FFFFFF"/>
      <w:shd w:val="clear" w:color="auto" w:fill="CA1D1F"/>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8FAFD"/>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9</Pages>
  <Words>1071</Words>
  <Characters>6110</Characters>
  <Lines>50</Lines>
  <Paragraphs>14</Paragraphs>
  <TotalTime>132</TotalTime>
  <ScaleCrop>false</ScaleCrop>
  <LinksUpToDate>false</LinksUpToDate>
  <CharactersWithSpaces>7167</CharactersWithSpaces>
  <Application>WPS Office_10.1.0.7323_F1E327BC-269C-435d-A152-05C5408002CA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2022-09-24T08:44:00Z</dcterms:created>
  <dc:creator>张晨</dc:creator>
  <cp:lastModifiedBy>厉超:拟稿</cp:lastModifiedBy>
  <cp:lastPrinted>2022-11-24T11:16:31Z</cp:lastPrinted>
  <dcterms:modified xsi:type="dcterms:W3CDTF">2022-11-24T11:17:49Z</dcterms:modified>
  <dc:title>附件</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2052-10.1.0.7323</vt:lpwstr>
  </property>
  <property fmtid="{D5CDD505-2E9C-101B-9397-08002B2CF9AE}" pid="3" name="ICV">
    <vt:lpwstr>15FCA993479E4677BC4DAC471023A6B1</vt:lpwstr>
  </property>
</Properties>
</file>